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4F81" w14:textId="27CC81BC" w:rsidR="00870AE6" w:rsidRPr="00760530" w:rsidRDefault="00CC03EE" w:rsidP="00870AE6">
      <w:pPr>
        <w:pStyle w:val="3GPPHeader"/>
        <w:spacing w:after="60"/>
        <w:rPr>
          <w:sz w:val="32"/>
          <w:szCs w:val="32"/>
          <w:highlight w:val="yellow"/>
        </w:rPr>
      </w:pPr>
      <w:r w:rsidRPr="003D7A16">
        <w:t>3GPP TSG RAN WG1 #10</w:t>
      </w:r>
      <w:r w:rsidR="001804B6">
        <w:t>8</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860E9F" w:rsidRPr="00860E9F">
        <w:rPr>
          <w:sz w:val="32"/>
          <w:szCs w:val="32"/>
        </w:rPr>
        <w:t>R1-2202219</w:t>
      </w:r>
    </w:p>
    <w:p w14:paraId="6B1DE8E5" w14:textId="5E5B353B" w:rsidR="00870AE6" w:rsidRPr="00CC03EE" w:rsidRDefault="00CC03EE" w:rsidP="00870AE6">
      <w:pPr>
        <w:pStyle w:val="3GPPHeader"/>
      </w:pPr>
      <w:r w:rsidRPr="003D7A16">
        <w:t xml:space="preserve">e-Meeting, </w:t>
      </w:r>
      <w:r w:rsidR="00822BDB">
        <w:t>February</w:t>
      </w:r>
      <w:r w:rsidR="000B0FBA" w:rsidRPr="003D7A16">
        <w:t xml:space="preserve"> </w:t>
      </w:r>
      <w:r w:rsidR="00822BDB">
        <w:t>21</w:t>
      </w:r>
      <w:r w:rsidR="002D4670">
        <w:t>st</w:t>
      </w:r>
      <w:r w:rsidR="000B0FBA" w:rsidRPr="003D7A16">
        <w:t xml:space="preserve"> </w:t>
      </w:r>
      <w:r w:rsidRPr="003D7A16">
        <w:t xml:space="preserve">– </w:t>
      </w:r>
      <w:r w:rsidR="00822BDB">
        <w:t>March</w:t>
      </w:r>
      <w:r w:rsidR="00B933B6">
        <w:t xml:space="preserve"> </w:t>
      </w:r>
      <w:r w:rsidR="00822BDB">
        <w:t>3rd</w:t>
      </w:r>
      <w:r w:rsidRPr="003D7A16">
        <w:t>, 202</w:t>
      </w:r>
      <w:r w:rsidR="007A6AC6">
        <w:t>2</w:t>
      </w:r>
    </w:p>
    <w:p w14:paraId="087312D9" w14:textId="77777777" w:rsidR="00696C81" w:rsidRPr="00CC03EE" w:rsidRDefault="00696C81" w:rsidP="00870AE6">
      <w:pPr>
        <w:pStyle w:val="3GPPHeader"/>
      </w:pPr>
    </w:p>
    <w:p w14:paraId="3C6869D1" w14:textId="419AA0A2"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7175B5">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7741D9DA" w:rsidR="00E90E49" w:rsidRPr="00760530" w:rsidRDefault="003D3C45" w:rsidP="00832F73">
      <w:pPr>
        <w:pStyle w:val="3GPPHeader"/>
        <w:spacing w:after="0"/>
        <w:rPr>
          <w:sz w:val="22"/>
        </w:rPr>
      </w:pPr>
      <w:r w:rsidRPr="00760530">
        <w:rPr>
          <w:sz w:val="22"/>
        </w:rPr>
        <w:t>Title:</w:t>
      </w:r>
      <w:r w:rsidR="00E90E49" w:rsidRPr="00760530">
        <w:rPr>
          <w:sz w:val="22"/>
        </w:rPr>
        <w:tab/>
      </w:r>
      <w:r w:rsidR="00166398" w:rsidRPr="00166398">
        <w:rPr>
          <w:sz w:val="22"/>
        </w:rPr>
        <w:t>Remaining aspects of active time power savings mechanisms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0EEB64D8" w14:textId="3596851E" w:rsidR="003937AE" w:rsidRPr="00BE3EFF" w:rsidRDefault="003937AE" w:rsidP="00F64087">
      <w:pPr>
        <w:pStyle w:val="BodyText"/>
        <w:rPr>
          <w:rFonts w:asciiTheme="minorHAnsi" w:hAnsiTheme="minorHAnsi" w:cstheme="minorHAnsi"/>
        </w:rPr>
      </w:pPr>
      <w:r>
        <w:rPr>
          <w:rFonts w:asciiTheme="minorHAnsi" w:hAnsiTheme="minorHAnsi" w:cstheme="minorHAnsi"/>
        </w:rPr>
        <w:t xml:space="preserve">During </w:t>
      </w:r>
      <w:r w:rsidR="001E69F2">
        <w:rPr>
          <w:rFonts w:asciiTheme="minorHAnsi" w:hAnsiTheme="minorHAnsi" w:cstheme="minorHAnsi"/>
        </w:rPr>
        <w:t>the RAN1 #107</w:t>
      </w:r>
      <w:r w:rsidR="004628A5">
        <w:rPr>
          <w:rFonts w:asciiTheme="minorHAnsi" w:hAnsiTheme="minorHAnsi" w:cstheme="minorHAnsi"/>
        </w:rPr>
        <w:t>bis</w:t>
      </w:r>
      <w:r w:rsidR="001E69F2">
        <w:rPr>
          <w:rFonts w:asciiTheme="minorHAnsi" w:hAnsiTheme="minorHAnsi" w:cstheme="minorHAnsi"/>
        </w:rPr>
        <w:t>-e meeting</w:t>
      </w:r>
      <w:r w:rsidR="00046472">
        <w:rPr>
          <w:rFonts w:asciiTheme="minorHAnsi" w:hAnsiTheme="minorHAnsi" w:cstheme="minorHAnsi"/>
        </w:rPr>
        <w:t>,</w:t>
      </w:r>
      <w:r w:rsidR="001E69F2">
        <w:rPr>
          <w:rFonts w:asciiTheme="minorHAnsi" w:hAnsiTheme="minorHAnsi" w:cstheme="minorHAnsi"/>
        </w:rPr>
        <w:t xml:space="preserve"> </w:t>
      </w:r>
      <w:r w:rsidR="004628A5">
        <w:rPr>
          <w:rFonts w:asciiTheme="minorHAnsi" w:hAnsiTheme="minorHAnsi" w:cstheme="minorHAnsi"/>
        </w:rPr>
        <w:t>some aspects were agreed upon on the PDCCH monitoring adaptation feature, including the configurations on the PDCCH-skipping duration</w:t>
      </w:r>
      <w:r w:rsidR="00D944D6">
        <w:rPr>
          <w:rFonts w:asciiTheme="minorHAnsi" w:hAnsiTheme="minorHAnsi" w:cstheme="minorHAnsi"/>
        </w:rPr>
        <w:t xml:space="preserve">, the </w:t>
      </w:r>
      <w:r w:rsidR="004628A5">
        <w:rPr>
          <w:rFonts w:asciiTheme="minorHAnsi" w:hAnsiTheme="minorHAnsi" w:cstheme="minorHAnsi"/>
        </w:rPr>
        <w:t xml:space="preserve">SSSG-switching timer, </w:t>
      </w:r>
      <w:r w:rsidR="00D944D6">
        <w:rPr>
          <w:rFonts w:asciiTheme="minorHAnsi" w:hAnsiTheme="minorHAnsi" w:cstheme="minorHAnsi"/>
        </w:rPr>
        <w:t>and the PDCCH monitoring adaptation bitfield</w:t>
      </w:r>
      <w:r w:rsidR="001F413F">
        <w:rPr>
          <w:rFonts w:asciiTheme="minorHAnsi" w:hAnsiTheme="minorHAnsi" w:cstheme="minorHAnsi"/>
        </w:rPr>
        <w:t xml:space="preserve"> [1]</w:t>
      </w:r>
      <w:r w:rsidR="00D944D6">
        <w:rPr>
          <w:rFonts w:asciiTheme="minorHAnsi" w:hAnsiTheme="minorHAnsi" w:cstheme="minorHAnsi"/>
        </w:rPr>
        <w:t>. The agreements can be seen in the Annex.</w:t>
      </w:r>
      <w:r w:rsidR="004E1B5C">
        <w:rPr>
          <w:rFonts w:asciiTheme="minorHAnsi" w:hAnsiTheme="minorHAnsi" w:cstheme="minorHAnsi"/>
        </w:rPr>
        <w:t xml:space="preserve"> </w:t>
      </w:r>
      <w:r w:rsidR="001E69F2">
        <w:rPr>
          <w:rFonts w:asciiTheme="minorHAnsi" w:hAnsiTheme="minorHAnsi" w:cstheme="minorHAnsi"/>
        </w:rPr>
        <w:t xml:space="preserve">In this paper, </w:t>
      </w:r>
      <w:r w:rsidR="00166398">
        <w:rPr>
          <w:rFonts w:asciiTheme="minorHAnsi" w:hAnsiTheme="minorHAnsi" w:cstheme="minorHAnsi"/>
        </w:rPr>
        <w:t>remaining details</w:t>
      </w:r>
      <w:r w:rsidR="001E69F2">
        <w:rPr>
          <w:rFonts w:asciiTheme="minorHAnsi" w:hAnsiTheme="minorHAnsi" w:cstheme="minorHAnsi"/>
        </w:rPr>
        <w:t xml:space="preserve"> for PDCCH monitoring adaptation </w:t>
      </w:r>
      <w:r w:rsidR="00166398">
        <w:rPr>
          <w:rFonts w:asciiTheme="minorHAnsi" w:hAnsiTheme="minorHAnsi" w:cstheme="minorHAnsi"/>
        </w:rPr>
        <w:t xml:space="preserve">are </w:t>
      </w:r>
      <w:r w:rsidR="00271D47">
        <w:rPr>
          <w:rFonts w:asciiTheme="minorHAnsi" w:hAnsiTheme="minorHAnsi" w:cstheme="minorHAnsi"/>
        </w:rPr>
        <w:t>discussed</w:t>
      </w:r>
      <w:r w:rsidR="001E69F2">
        <w:rPr>
          <w:rFonts w:asciiTheme="minorHAnsi" w:hAnsiTheme="minorHAnsi" w:cstheme="minorHAnsi"/>
        </w:rPr>
        <w:t>.</w:t>
      </w:r>
    </w:p>
    <w:p w14:paraId="327E3041" w14:textId="7249A6DD" w:rsidR="00193193" w:rsidRPr="00671E73" w:rsidRDefault="000916B4" w:rsidP="00671E73">
      <w:pPr>
        <w:pStyle w:val="Heading1"/>
        <w:rPr>
          <w:lang w:val="en-US"/>
        </w:rPr>
      </w:pPr>
      <w:bookmarkStart w:id="0" w:name="_Ref178064866"/>
      <w:r w:rsidRPr="005F577B">
        <w:rPr>
          <w:lang w:val="en-US"/>
        </w:rPr>
        <w:t>2</w:t>
      </w:r>
      <w:r w:rsidRPr="005F577B">
        <w:rPr>
          <w:lang w:val="en-US"/>
        </w:rPr>
        <w:tab/>
      </w:r>
      <w:bookmarkEnd w:id="0"/>
      <w:r w:rsidR="007A3D6A">
        <w:rPr>
          <w:lang w:val="en-US"/>
        </w:rPr>
        <w:t>Discussion</w:t>
      </w:r>
      <w:bookmarkStart w:id="1" w:name="_Toc5022906"/>
      <w:bookmarkEnd w:id="1"/>
    </w:p>
    <w:p w14:paraId="58AF4C38" w14:textId="3DA2439C" w:rsidR="005B0E02" w:rsidRDefault="005B0E02" w:rsidP="005B0E02">
      <w:pPr>
        <w:pStyle w:val="Heading2"/>
      </w:pPr>
      <w:r>
        <w:t>2.1</w:t>
      </w:r>
      <w:r>
        <w:tab/>
        <w:t>Bitfield configuration</w:t>
      </w:r>
    </w:p>
    <w:p w14:paraId="580BDEFA" w14:textId="77777777" w:rsidR="005B0E02" w:rsidRDefault="005B0E02" w:rsidP="005B0E02">
      <w:pPr>
        <w:jc w:val="both"/>
        <w:rPr>
          <w:lang w:val="en-GB" w:eastAsia="ja-JP"/>
        </w:rPr>
      </w:pPr>
      <w:r>
        <w:rPr>
          <w:lang w:val="en-GB" w:eastAsia="ja-JP"/>
        </w:rPr>
        <w:t xml:space="preserve">When </w:t>
      </w:r>
      <w:r w:rsidRPr="003B78AB">
        <w:rPr>
          <w:i/>
          <w:iCs/>
          <w:lang w:val="en-GB" w:eastAsia="ja-JP"/>
        </w:rPr>
        <w:t>PDCCHSkippingDurationList</w:t>
      </w:r>
      <w:r>
        <w:rPr>
          <w:lang w:val="en-GB" w:eastAsia="ja-JP"/>
        </w:rPr>
        <w:t xml:space="preserve"> is not configured, the PDCCH monitoring adaptation bitfield can have a size of 1 bit or 2 bits, i.e., depends on whether there is an SS configured with SS-set group index 2 or not. It should be noted, however, SSSG#0 is a default SSSG that should be configured, e.g., as the SSSG used after the switching timer ends. In addition, SSSG#2 is also designed in order to support SSSG-switching with 3 SSSGs. Considering this, it will not be intuitive to have SSSG#2 configured while SSSG#1 is not configured. If the NW wants to configure the UE with 2 SSSGs, it is better to configure the UE with SSSG#0 and SSSG#1 so that the PDCCH monitoring adaptation bitfield can be optimized, i.e., having a bitfield size of 1. Therefore, option 3 in the previous meeting is preferable.</w:t>
      </w:r>
    </w:p>
    <w:p w14:paraId="5A760678" w14:textId="77777777" w:rsidR="005B0E02" w:rsidRDefault="005B0E02" w:rsidP="005B0E02">
      <w:pPr>
        <w:pStyle w:val="Proposal"/>
        <w:numPr>
          <w:ilvl w:val="0"/>
          <w:numId w:val="2"/>
        </w:numPr>
        <w:tabs>
          <w:tab w:val="clear" w:pos="1304"/>
        </w:tabs>
        <w:ind w:left="1701" w:hanging="1701"/>
        <w:rPr>
          <w:rFonts w:asciiTheme="minorHAnsi" w:hAnsiTheme="minorHAnsi" w:cstheme="minorHAnsi"/>
        </w:rPr>
      </w:pPr>
      <w:bookmarkStart w:id="2" w:name="_Toc95739247"/>
      <w:r>
        <w:rPr>
          <w:rFonts w:asciiTheme="minorHAnsi" w:hAnsiTheme="minorHAnsi" w:cstheme="minorHAnsi"/>
        </w:rPr>
        <w:t xml:space="preserve">If </w:t>
      </w:r>
      <w:r>
        <w:rPr>
          <w:rFonts w:asciiTheme="minorHAnsi" w:hAnsiTheme="minorHAnsi" w:cstheme="minorHAnsi"/>
          <w:i/>
          <w:iCs/>
        </w:rPr>
        <w:t>PDCCHSkippingDurationList</w:t>
      </w:r>
      <w:r>
        <w:rPr>
          <w:rFonts w:asciiTheme="minorHAnsi" w:hAnsiTheme="minorHAnsi" w:cstheme="minorHAnsi"/>
        </w:rPr>
        <w:t xml:space="preserve"> is not configured, the width of the PDCCH monitoring adaptation bitfield is:</w:t>
      </w:r>
      <w:bookmarkEnd w:id="2"/>
    </w:p>
    <w:p w14:paraId="7CE307C6" w14:textId="77777777" w:rsidR="005B0E02" w:rsidRDefault="005B0E02" w:rsidP="005B0E02">
      <w:pPr>
        <w:pStyle w:val="Proposal"/>
        <w:numPr>
          <w:ilvl w:val="1"/>
          <w:numId w:val="2"/>
        </w:numPr>
        <w:rPr>
          <w:rFonts w:asciiTheme="minorHAnsi" w:hAnsiTheme="minorHAnsi" w:cstheme="minorHAnsi"/>
        </w:rPr>
      </w:pPr>
      <w:bookmarkStart w:id="3" w:name="_Toc95739248"/>
      <w:r>
        <w:rPr>
          <w:rFonts w:asciiTheme="minorHAnsi" w:hAnsiTheme="minorHAnsi" w:cstheme="minorHAnsi"/>
        </w:rPr>
        <w:t xml:space="preserve">1 bit </w:t>
      </w:r>
      <w:r w:rsidRPr="004522ED">
        <w:rPr>
          <w:rFonts w:asciiTheme="minorHAnsi" w:hAnsiTheme="minorHAnsi" w:cstheme="minorHAnsi"/>
        </w:rPr>
        <w:t>if the UE is configured by searchSpaceGroupIdList-r17 with search space set(s) with group index 0 and search space set(s) with group index 1, and if the UE is not configured by searchSpaceGroupIdList-r17 with any search space set with group index 2</w:t>
      </w:r>
      <w:r>
        <w:rPr>
          <w:rFonts w:asciiTheme="minorHAnsi" w:hAnsiTheme="minorHAnsi" w:cstheme="minorHAnsi"/>
        </w:rPr>
        <w:t>;</w:t>
      </w:r>
      <w:bookmarkEnd w:id="3"/>
    </w:p>
    <w:p w14:paraId="2CAE437F" w14:textId="77777777" w:rsidR="005B0E02" w:rsidRPr="004522ED" w:rsidRDefault="005B0E02" w:rsidP="005B0E02">
      <w:pPr>
        <w:pStyle w:val="Proposal"/>
        <w:numPr>
          <w:ilvl w:val="1"/>
          <w:numId w:val="2"/>
        </w:numPr>
        <w:rPr>
          <w:rFonts w:asciiTheme="minorHAnsi" w:hAnsiTheme="minorHAnsi" w:cstheme="minorHAnsi"/>
        </w:rPr>
      </w:pPr>
      <w:bookmarkStart w:id="4" w:name="_Toc95739249"/>
      <w:r w:rsidRPr="004522ED">
        <w:rPr>
          <w:rFonts w:asciiTheme="minorHAnsi" w:hAnsiTheme="minorHAnsi" w:cstheme="minorHAnsi"/>
        </w:rPr>
        <w:t>2 bits if the UE is configured by searchSpaceGroupIdList-r17 with search space set(s) with group index 0, search space set(s) with group index 1 and search space set(s) with group index 2</w:t>
      </w:r>
      <w:r>
        <w:rPr>
          <w:rFonts w:asciiTheme="minorHAnsi" w:hAnsiTheme="minorHAnsi" w:cstheme="minorHAnsi"/>
        </w:rPr>
        <w:t>.</w:t>
      </w:r>
      <w:bookmarkEnd w:id="4"/>
    </w:p>
    <w:p w14:paraId="26ABE40E" w14:textId="6A7D9488" w:rsidR="005B0E02" w:rsidRPr="00F47B83" w:rsidRDefault="005B0E02" w:rsidP="005B0E02">
      <w:pPr>
        <w:jc w:val="both"/>
        <w:rPr>
          <w:lang w:eastAsia="ja-JP"/>
        </w:rPr>
      </w:pPr>
      <w:r>
        <w:rPr>
          <w:lang w:eastAsia="ja-JP"/>
        </w:rPr>
        <w:t xml:space="preserve">Regarding the behavior corresponding to the code point 0 or 00 for case 1, it should simply be that the DCI does not indicate skipping in PDCCH monitoring. However, if UE had already received a previous/another DCI indicating skipping (Such cases can happen when, e.g., DL and UL DCIs are transmitted in different symbols, etc.), then the current DCI should be able to indicate ‘0’ or ‘00’ without overriding </w:t>
      </w:r>
      <w:r w:rsidR="005B1245">
        <w:rPr>
          <w:lang w:eastAsia="ja-JP"/>
        </w:rPr>
        <w:t xml:space="preserve">other </w:t>
      </w:r>
      <w:r>
        <w:rPr>
          <w:lang w:eastAsia="ja-JP"/>
        </w:rPr>
        <w:t xml:space="preserve">command. Therefore, we propose the following. </w:t>
      </w:r>
    </w:p>
    <w:p w14:paraId="2B58A5A9" w14:textId="3937A3AF" w:rsidR="005B0E02" w:rsidRPr="009A5543" w:rsidRDefault="005B0E02" w:rsidP="005B0E02">
      <w:pPr>
        <w:pStyle w:val="Proposal"/>
        <w:numPr>
          <w:ilvl w:val="0"/>
          <w:numId w:val="2"/>
        </w:numPr>
        <w:tabs>
          <w:tab w:val="clear" w:pos="1304"/>
        </w:tabs>
        <w:ind w:left="1701" w:hanging="1701"/>
        <w:jc w:val="left"/>
        <w:rPr>
          <w:rFonts w:asciiTheme="minorHAnsi" w:hAnsiTheme="minorHAnsi" w:cstheme="minorHAnsi"/>
        </w:rPr>
      </w:pPr>
      <w:bookmarkStart w:id="5" w:name="_Toc95739250"/>
      <w:r w:rsidRPr="00F47B83">
        <w:rPr>
          <w:rFonts w:asciiTheme="minorHAnsi" w:hAnsiTheme="minorHAnsi" w:cstheme="minorHAnsi"/>
        </w:rPr>
        <w:t xml:space="preserve">For Beh 1, a '0' or ‘00’ value for the bit </w:t>
      </w:r>
      <w:r w:rsidR="004059B0">
        <w:rPr>
          <w:rFonts w:asciiTheme="minorHAnsi" w:hAnsiTheme="minorHAnsi" w:cstheme="minorHAnsi"/>
        </w:rPr>
        <w:t>implies</w:t>
      </w:r>
      <w:r w:rsidR="004059B0" w:rsidRPr="00F47B83">
        <w:rPr>
          <w:rFonts w:asciiTheme="minorHAnsi" w:hAnsiTheme="minorHAnsi" w:cstheme="minorHAnsi"/>
        </w:rPr>
        <w:t xml:space="preserve"> </w:t>
      </w:r>
      <w:r w:rsidR="004059B0">
        <w:rPr>
          <w:rFonts w:asciiTheme="minorHAnsi" w:hAnsiTheme="minorHAnsi" w:cstheme="minorHAnsi"/>
        </w:rPr>
        <w:t>that</w:t>
      </w:r>
      <w:r w:rsidRPr="00F47B83">
        <w:rPr>
          <w:rFonts w:asciiTheme="minorHAnsi" w:hAnsiTheme="minorHAnsi" w:cstheme="minorHAnsi"/>
        </w:rPr>
        <w:t xml:space="preserve"> the corresponding DCI </w:t>
      </w:r>
      <w:r w:rsidR="004059B0">
        <w:rPr>
          <w:rFonts w:asciiTheme="minorHAnsi" w:hAnsiTheme="minorHAnsi" w:cstheme="minorHAnsi"/>
        </w:rPr>
        <w:t xml:space="preserve">is not used for </w:t>
      </w:r>
      <w:r w:rsidRPr="00F47B83" w:rsidDel="004059B0">
        <w:rPr>
          <w:rFonts w:asciiTheme="minorHAnsi" w:hAnsiTheme="minorHAnsi" w:cstheme="minorHAnsi"/>
        </w:rPr>
        <w:t xml:space="preserve">PDCCH </w:t>
      </w:r>
      <w:r w:rsidR="004059B0">
        <w:rPr>
          <w:rFonts w:asciiTheme="minorHAnsi" w:hAnsiTheme="minorHAnsi" w:cstheme="minorHAnsi"/>
        </w:rPr>
        <w:t>skipping indication</w:t>
      </w:r>
      <w:r>
        <w:rPr>
          <w:rFonts w:asciiTheme="minorHAnsi" w:hAnsiTheme="minorHAnsi" w:cstheme="minorHAnsi"/>
        </w:rPr>
        <w:t>.</w:t>
      </w:r>
      <w:bookmarkEnd w:id="5"/>
    </w:p>
    <w:p w14:paraId="33190E81" w14:textId="6EB80DEE" w:rsidR="005B0E02" w:rsidRDefault="005B0E02" w:rsidP="005B0E02">
      <w:pPr>
        <w:jc w:val="both"/>
        <w:rPr>
          <w:lang w:val="en-GB" w:eastAsia="ja-JP"/>
        </w:rPr>
      </w:pPr>
      <w:r>
        <w:rPr>
          <w:lang w:val="en-GB" w:eastAsia="ja-JP"/>
        </w:rPr>
        <w:lastRenderedPageBreak/>
        <w:t xml:space="preserve">Considering the above, the following </w:t>
      </w:r>
      <w:r w:rsidR="00BE70E6">
        <w:rPr>
          <w:lang w:val="en-GB" w:eastAsia="ja-JP"/>
        </w:rPr>
        <w:t xml:space="preserve">TP </w:t>
      </w:r>
      <w:r>
        <w:rPr>
          <w:lang w:val="en-GB" w:eastAsia="ja-JP"/>
        </w:rPr>
        <w:t>is proposed (the modification is written in red font). Note that the below is only an example for 1 case (i.e., Case 1). The change should also be applied in the other cases.</w:t>
      </w:r>
    </w:p>
    <w:p w14:paraId="634E2C34" w14:textId="77777777" w:rsidR="005B0E02" w:rsidRPr="00EE7BB0" w:rsidRDefault="005B0E02" w:rsidP="005B0E02">
      <w:pPr>
        <w:rPr>
          <w:rFonts w:ascii="Times New Roman" w:hAnsi="Times New Roman" w:cs="Times New Roman"/>
          <w:i/>
          <w:iCs/>
          <w:lang w:val="en-GB" w:eastAsia="ja-JP"/>
        </w:rPr>
      </w:pPr>
      <w:r w:rsidRPr="00EE7BB0">
        <w:rPr>
          <w:rFonts w:ascii="Times New Roman" w:hAnsi="Times New Roman" w:cs="Times New Roman"/>
          <w:i/>
          <w:iCs/>
          <w:lang w:val="en-GB" w:eastAsia="ja-JP"/>
        </w:rPr>
        <w:t>&lt;text omitted&gt;</w:t>
      </w:r>
    </w:p>
    <w:p w14:paraId="4902A05B" w14:textId="77777777" w:rsidR="005B0E02" w:rsidRPr="00C32ED6" w:rsidRDefault="005B0E02" w:rsidP="005B0E02">
      <w:pPr>
        <w:jc w:val="both"/>
        <w:rPr>
          <w:rFonts w:ascii="Times New Roman" w:hAnsi="Times New Roman" w:cs="Times New Roman"/>
          <w:lang w:val="en-GB" w:eastAsia="ja-JP"/>
        </w:rPr>
      </w:pPr>
      <w:r w:rsidRPr="00C32ED6">
        <w:rPr>
          <w:rFonts w:ascii="Times New Roman" w:hAnsi="Times New Roman" w:cs="Times New Roman"/>
          <w:lang w:val="en-GB" w:eastAsia="ja-JP"/>
        </w:rPr>
        <w:t>If the field has 1 bit and for PDCCH monitoring according to Type3-PDCCH CSS sets or USS sets on the serving cell</w:t>
      </w:r>
    </w:p>
    <w:p w14:paraId="04CE9842" w14:textId="1ADB88BE" w:rsidR="005B0E02" w:rsidRDefault="005B0E02" w:rsidP="005B0E02">
      <w:pPr>
        <w:pStyle w:val="ListParagraph"/>
        <w:numPr>
          <w:ilvl w:val="0"/>
          <w:numId w:val="18"/>
        </w:numPr>
        <w:jc w:val="both"/>
        <w:rPr>
          <w:rFonts w:ascii="Times New Roman" w:hAnsi="Times New Roman" w:cs="Times New Roman"/>
          <w:lang w:val="en-GB" w:eastAsia="ja-JP"/>
        </w:rPr>
      </w:pPr>
      <w:r w:rsidRPr="00EE7BB0">
        <w:rPr>
          <w:rFonts w:ascii="Times New Roman" w:hAnsi="Times New Roman" w:cs="Times New Roman"/>
          <w:lang w:val="en-GB" w:eastAsia="ja-JP"/>
        </w:rPr>
        <w:t xml:space="preserve">a '0' value for the bit indicates </w:t>
      </w:r>
      <w:r w:rsidR="004059B0" w:rsidRPr="005B1245">
        <w:rPr>
          <w:rFonts w:ascii="Times New Roman" w:hAnsi="Times New Roman" w:cs="Times New Roman"/>
          <w:color w:val="FF0000"/>
          <w:u w:val="single"/>
          <w:lang w:val="en-GB" w:eastAsia="ja-JP"/>
        </w:rPr>
        <w:t xml:space="preserve">that DCI is not used for indicating </w:t>
      </w:r>
      <w:r w:rsidRPr="005B1245">
        <w:rPr>
          <w:rFonts w:ascii="Times New Roman" w:hAnsi="Times New Roman" w:cs="Times New Roman"/>
          <w:strike/>
          <w:color w:val="FF0000"/>
          <w:u w:val="single"/>
          <w:lang w:val="en-GB" w:eastAsia="ja-JP"/>
        </w:rPr>
        <w:t>no</w:t>
      </w:r>
      <w:r w:rsidRPr="00EE7BB0">
        <w:rPr>
          <w:rFonts w:ascii="Times New Roman" w:hAnsi="Times New Roman" w:cs="Times New Roman"/>
          <w:lang w:val="en-GB" w:eastAsia="ja-JP"/>
        </w:rPr>
        <w:t xml:space="preserve"> skipping in</w:t>
      </w:r>
      <w:r w:rsidRPr="00EE7BB0" w:rsidDel="004059B0">
        <w:rPr>
          <w:rFonts w:ascii="Times New Roman" w:hAnsi="Times New Roman" w:cs="Times New Roman"/>
          <w:lang w:val="en-GB" w:eastAsia="ja-JP"/>
        </w:rPr>
        <w:t xml:space="preserve"> </w:t>
      </w:r>
      <w:r w:rsidRPr="00EE7BB0">
        <w:rPr>
          <w:rFonts w:ascii="Times New Roman" w:hAnsi="Times New Roman" w:cs="Times New Roman"/>
          <w:lang w:val="en-GB" w:eastAsia="ja-JP"/>
        </w:rPr>
        <w:t>PDCCH monitoring</w:t>
      </w:r>
    </w:p>
    <w:p w14:paraId="04B3BD40" w14:textId="77777777" w:rsidR="005B0E02" w:rsidRPr="00EE7BB0" w:rsidRDefault="005B0E02" w:rsidP="005B0E02">
      <w:pPr>
        <w:pStyle w:val="ListParagraph"/>
        <w:numPr>
          <w:ilvl w:val="0"/>
          <w:numId w:val="18"/>
        </w:numPr>
        <w:jc w:val="both"/>
        <w:rPr>
          <w:rFonts w:ascii="Times New Roman" w:hAnsi="Times New Roman" w:cs="Times New Roman"/>
          <w:lang w:val="en-GB" w:eastAsia="ja-JP"/>
        </w:rPr>
      </w:pPr>
      <w:r w:rsidRPr="00EE7BB0">
        <w:rPr>
          <w:rFonts w:ascii="Times New Roman" w:hAnsi="Times New Roman" w:cs="Times New Roman"/>
          <w:lang w:val="en-GB" w:eastAsia="ja-JP"/>
        </w:rPr>
        <w:t>a '1' value for the bit indicates skipping PDCCH monitoring for a duration provided by the first value in the set of durations</w:t>
      </w:r>
    </w:p>
    <w:p w14:paraId="7E6FE63C" w14:textId="77777777" w:rsidR="005B0E02" w:rsidRPr="00EE7BB0" w:rsidRDefault="005B0E02" w:rsidP="005B0E02">
      <w:pPr>
        <w:rPr>
          <w:rFonts w:ascii="Times New Roman" w:hAnsi="Times New Roman" w:cs="Times New Roman"/>
          <w:i/>
          <w:iCs/>
          <w:lang w:val="en-GB" w:eastAsia="ja-JP"/>
        </w:rPr>
      </w:pPr>
      <w:r w:rsidRPr="00EE7BB0">
        <w:rPr>
          <w:rFonts w:ascii="Times New Roman" w:hAnsi="Times New Roman" w:cs="Times New Roman"/>
          <w:i/>
          <w:iCs/>
          <w:lang w:val="en-GB" w:eastAsia="ja-JP"/>
        </w:rPr>
        <w:t>&lt;text omitted&gt;</w:t>
      </w:r>
    </w:p>
    <w:p w14:paraId="25E08F86" w14:textId="77777777" w:rsidR="005B0E02" w:rsidRPr="004B45BE" w:rsidRDefault="005B0E02" w:rsidP="005B0E02">
      <w:pPr>
        <w:rPr>
          <w:lang w:eastAsia="ja-JP"/>
        </w:rPr>
      </w:pPr>
    </w:p>
    <w:p w14:paraId="34284E55" w14:textId="459F4CA6" w:rsidR="00CF397E" w:rsidRPr="00CF397E" w:rsidRDefault="00CF397E" w:rsidP="000A37D1">
      <w:pPr>
        <w:pStyle w:val="Heading2"/>
      </w:pPr>
      <w:r>
        <w:t>2.</w:t>
      </w:r>
      <w:r w:rsidR="00671E73">
        <w:t>1</w:t>
      </w:r>
      <w:r>
        <w:tab/>
        <w:t>Adaptation indications</w:t>
      </w:r>
    </w:p>
    <w:p w14:paraId="2C858274" w14:textId="77777777" w:rsidR="005B0E02" w:rsidRDefault="005B0E02" w:rsidP="005B0E02">
      <w:pPr>
        <w:pStyle w:val="Heading3"/>
      </w:pPr>
      <w:r>
        <w:t>2.1.2</w:t>
      </w:r>
      <w:r>
        <w:tab/>
        <w:t>Switching timer</w:t>
      </w:r>
    </w:p>
    <w:p w14:paraId="18EA6F3D" w14:textId="77777777" w:rsidR="005B0E02" w:rsidRDefault="005B0E02" w:rsidP="005B0E02">
      <w:pPr>
        <w:jc w:val="both"/>
        <w:rPr>
          <w:lang w:val="en-GB" w:eastAsia="ja-JP"/>
        </w:rPr>
      </w:pPr>
      <w:r>
        <w:rPr>
          <w:lang w:val="en-GB" w:eastAsia="ja-JP"/>
        </w:rPr>
        <w:t xml:space="preserve">In Rel. 16 SSSG-switching feature, a switching timer is introduced. There, the switching timer starts and restarts each time the UE monitors PDCCH according to SSSG1. When the timer expires, the UE then switches back to SSSG0. A similar approach can be used for Rel. 17 PDCCH monitoring adaptation, i.e., the UE could (re)start a switching timer each time the UE monitors PDCCH according to the non-default SSSG (e.g., SSSG1 or SSSG2) and switch to SSSG0 when the switching timer expires. This approach is relatively simple and already brings a great advantage for the UE, i.e., the UE may return to monitor PDCCHs according to a sparser SSSG after some duration of using a denser SSSG. </w:t>
      </w:r>
    </w:p>
    <w:p w14:paraId="74BA3B7E" w14:textId="77777777" w:rsidR="005B0E02" w:rsidRDefault="005B0E02" w:rsidP="005B0E02">
      <w:pPr>
        <w:jc w:val="both"/>
        <w:rPr>
          <w:lang w:val="en-GB" w:eastAsia="ja-JP"/>
        </w:rPr>
      </w:pPr>
      <w:r>
        <w:rPr>
          <w:lang w:val="en-GB" w:eastAsia="ja-JP"/>
        </w:rPr>
        <w:t xml:space="preserve">The timer can be reset each time UE receives a PDCCH with CRC scrambled by C-RNTI/CS-RNTI/MCS-C-RNTI (i.e., when it is receiving data), or the timer can be reset each time when UE receives a PDCCH in the non-default SSSG. While both these options would function well, from our perspective, it is simpler to allow the RNTI-based setting so that the NW can freely choose which SS can be used to schedule data to the UE (including the CSS sets and other SS sets that do not belong to any SSSGs) without worrying about timer and SS set associations. </w:t>
      </w:r>
    </w:p>
    <w:p w14:paraId="278943CA" w14:textId="77777777" w:rsidR="005B0E02" w:rsidRPr="00ED0531" w:rsidRDefault="005B0E02" w:rsidP="005B0E02">
      <w:pPr>
        <w:pStyle w:val="Proposal"/>
        <w:numPr>
          <w:ilvl w:val="0"/>
          <w:numId w:val="2"/>
        </w:numPr>
        <w:tabs>
          <w:tab w:val="clear" w:pos="1304"/>
        </w:tabs>
        <w:ind w:left="1701" w:hanging="1701"/>
        <w:rPr>
          <w:rFonts w:asciiTheme="minorHAnsi" w:hAnsiTheme="minorHAnsi" w:cstheme="minorHAnsi"/>
        </w:rPr>
      </w:pPr>
      <w:bookmarkStart w:id="6" w:name="_Toc95739251"/>
      <w:r w:rsidRPr="00E76B28">
        <w:rPr>
          <w:rFonts w:asciiTheme="minorHAnsi" w:hAnsiTheme="minorHAnsi" w:cstheme="minorHAnsi"/>
        </w:rPr>
        <w:t>The SSSG timer is reset when UE receives a PDCCH with CRC scrambled by C-RNTI/CS-RNTI/MCS-C-RNTI</w:t>
      </w:r>
      <w:r w:rsidRPr="00ED0531">
        <w:rPr>
          <w:rFonts w:asciiTheme="minorHAnsi" w:hAnsiTheme="minorHAnsi" w:cstheme="minorHAnsi"/>
        </w:rPr>
        <w:t>.</w:t>
      </w:r>
      <w:bookmarkEnd w:id="6"/>
    </w:p>
    <w:p w14:paraId="57FA6F54" w14:textId="77777777" w:rsidR="005B0E02" w:rsidRPr="001C2CBA" w:rsidRDefault="005B0E02" w:rsidP="005B0E02">
      <w:pPr>
        <w:rPr>
          <w:color w:val="C00000"/>
          <w:lang w:val="en-GB" w:eastAsia="ja-JP"/>
        </w:rPr>
      </w:pPr>
    </w:p>
    <w:p w14:paraId="3D8DC647" w14:textId="77777777" w:rsidR="005B0E02" w:rsidRPr="00EE7BB0" w:rsidRDefault="005B0E02" w:rsidP="005B0E02">
      <w:pPr>
        <w:jc w:val="both"/>
        <w:rPr>
          <w:lang w:val="en-GB" w:eastAsia="ja-JP"/>
        </w:rPr>
      </w:pPr>
      <w:r w:rsidRPr="00EE7BB0">
        <w:rPr>
          <w:lang w:val="en-GB" w:eastAsia="ja-JP"/>
        </w:rPr>
        <w:t xml:space="preserve">In </w:t>
      </w:r>
      <w:r>
        <w:rPr>
          <w:lang w:val="en-GB" w:eastAsia="ja-JP"/>
        </w:rPr>
        <w:t>a certain case, it is possible that the switching timer ends before the skipping duration ends, i.e., the switching timer ends in the middle of the skipping duration. Here, a simple approach can be taken, i.e., the UE may skip PDCCH monitoring until the skipping duration ends. One of the reasons is that the skipping command is sent via a DCI, where the NW decision is based on a more present condition of the buffer. In addition, if required, the NW may configure the UE with a skipping duration smaller than or equal to the switching timer. After the skipping duration ends, the UE then monitors the PDCCH according to SSSG0.</w:t>
      </w:r>
    </w:p>
    <w:p w14:paraId="02FC66B1" w14:textId="77777777" w:rsidR="005B0E02" w:rsidRPr="00ED0531" w:rsidRDefault="005B0E02" w:rsidP="005B0E02">
      <w:pPr>
        <w:pStyle w:val="Proposal"/>
        <w:numPr>
          <w:ilvl w:val="0"/>
          <w:numId w:val="2"/>
        </w:numPr>
        <w:tabs>
          <w:tab w:val="clear" w:pos="1304"/>
        </w:tabs>
        <w:ind w:left="1701" w:hanging="1701"/>
        <w:rPr>
          <w:rFonts w:asciiTheme="minorHAnsi" w:hAnsiTheme="minorHAnsi" w:cstheme="minorHAnsi"/>
        </w:rPr>
      </w:pPr>
      <w:bookmarkStart w:id="7" w:name="_Toc95739252"/>
      <w:r>
        <w:rPr>
          <w:rFonts w:asciiTheme="minorHAnsi" w:hAnsiTheme="minorHAnsi" w:cstheme="minorHAnsi"/>
        </w:rPr>
        <w:t>If the SSSG-switching timer expires and the UE is still in the skipping duration, the UE finishes the skipping duration and monitors PDCCH according to SSSG0 when skipping duration ends</w:t>
      </w:r>
      <w:r w:rsidRPr="00ED0531">
        <w:rPr>
          <w:rFonts w:asciiTheme="minorHAnsi" w:hAnsiTheme="minorHAnsi" w:cstheme="minorHAnsi"/>
        </w:rPr>
        <w:t>.</w:t>
      </w:r>
      <w:bookmarkEnd w:id="7"/>
    </w:p>
    <w:p w14:paraId="27FC4010" w14:textId="77777777" w:rsidR="005B0E02" w:rsidRPr="00DE583A" w:rsidRDefault="005B0E02" w:rsidP="005B0E02">
      <w:pPr>
        <w:rPr>
          <w:lang w:val="en-GB" w:eastAsia="ja-JP"/>
        </w:rPr>
      </w:pPr>
    </w:p>
    <w:p w14:paraId="691E39AD" w14:textId="77777777" w:rsidR="005B0E02" w:rsidRDefault="005B0E02" w:rsidP="005B0E02">
      <w:pPr>
        <w:pStyle w:val="Heading3"/>
      </w:pPr>
      <w:r>
        <w:lastRenderedPageBreak/>
        <w:t>2.1.3</w:t>
      </w:r>
      <w:r>
        <w:tab/>
        <w:t>UL consideration</w:t>
      </w:r>
    </w:p>
    <w:p w14:paraId="47978AAC" w14:textId="77777777" w:rsidR="005B0E02" w:rsidRPr="001B6CE4" w:rsidRDefault="005B0E02" w:rsidP="005B0E02">
      <w:pPr>
        <w:jc w:val="both"/>
        <w:rPr>
          <w:lang w:val="en-GB" w:eastAsia="ja-JP"/>
        </w:rPr>
      </w:pPr>
      <w:r w:rsidRPr="001B6CE4">
        <w:rPr>
          <w:lang w:val="en-GB" w:eastAsia="ja-JP"/>
        </w:rPr>
        <w:t xml:space="preserve">When a UE transmits an uplink scheduling request, it is possible that UE is still monitoring PDCCH sparsely. In this case, the UE will remain in sparse monitoring until it receives the UL grant DCI, and only after that, the UE could switch to the other SS-set group (i.e., the dense monitoring). This scenario might be unattractive as it might increase the latency of the UL transmission. </w:t>
      </w:r>
    </w:p>
    <w:p w14:paraId="1BAFC6BF" w14:textId="77777777" w:rsidR="005B0E02" w:rsidRPr="001B6CE4" w:rsidRDefault="005B0E02" w:rsidP="005B0E02">
      <w:pPr>
        <w:jc w:val="both"/>
        <w:rPr>
          <w:lang w:val="en-GB" w:eastAsia="ja-JP"/>
        </w:rPr>
      </w:pPr>
      <w:r w:rsidRPr="001B6CE4">
        <w:rPr>
          <w:lang w:val="en-GB" w:eastAsia="ja-JP"/>
        </w:rPr>
        <w:t>To overcome this issue, the UL request from the UE should be added as one of the indications which could trigger the SSSG-switching. Note, however, sparse monitoring can be either in SSSG0 or SSSG1. In addition, it is also possible that the UL request comes when the NW is on the dense monitoring. Thus, the SSSG to which the UE needs to switch or remain should be NW-configurable, e.g., in the RRC configuration.</w:t>
      </w:r>
    </w:p>
    <w:p w14:paraId="41685432" w14:textId="5B9C54B8" w:rsidR="005B0E02" w:rsidRPr="001B6CE4" w:rsidRDefault="005B0E02" w:rsidP="005B0E02">
      <w:pPr>
        <w:jc w:val="both"/>
        <w:rPr>
          <w:lang w:val="en-GB" w:eastAsia="ja-JP"/>
        </w:rPr>
      </w:pPr>
      <w:r w:rsidRPr="001B6CE4">
        <w:rPr>
          <w:lang w:val="en-GB" w:eastAsia="ja-JP"/>
        </w:rPr>
        <w:t>For the case of the UE is being inside a skipping duration, the uplink SR can be used as an implicit indication to terminate the skipping duration</w:t>
      </w:r>
      <w:r w:rsidR="00221F30">
        <w:rPr>
          <w:lang w:val="en-GB" w:eastAsia="ja-JP"/>
        </w:rPr>
        <w:t xml:space="preserve">, which is aligned with the </w:t>
      </w:r>
      <w:r w:rsidR="00221F30" w:rsidRPr="009B7CB5">
        <w:rPr>
          <w:lang w:val="en-GB" w:eastAsia="ja-JP"/>
        </w:rPr>
        <w:t xml:space="preserve">RAN2 LS on PDCCH skipping </w:t>
      </w:r>
      <w:r w:rsidR="00221F30" w:rsidRPr="005B1245">
        <w:rPr>
          <w:lang w:val="en-GB" w:eastAsia="ja-JP"/>
        </w:rPr>
        <w:t>[2]</w:t>
      </w:r>
      <w:r w:rsidRPr="009B7CB5">
        <w:rPr>
          <w:lang w:val="en-GB" w:eastAsia="ja-JP"/>
        </w:rPr>
        <w:t>.</w:t>
      </w:r>
      <w:r w:rsidRPr="001B6CE4">
        <w:rPr>
          <w:lang w:val="en-GB" w:eastAsia="ja-JP"/>
        </w:rPr>
        <w:t xml:space="preserve"> When the UE is not configured with SSSG-switching behaviour, the UE can resume the normal PDCCH monitoring. When the UE is configured with SSSG-switching behaviour, the SSSG in which the UE monitors PDCCHs should be NW-configurable, e.g., in the RRC configuration.</w:t>
      </w:r>
      <w:r w:rsidR="00221F30">
        <w:rPr>
          <w:lang w:val="en-GB" w:eastAsia="ja-JP"/>
        </w:rPr>
        <w:t xml:space="preserve"> </w:t>
      </w:r>
    </w:p>
    <w:p w14:paraId="5A72CE97" w14:textId="77777777" w:rsidR="005B0E02" w:rsidRPr="00ED0531" w:rsidRDefault="005B0E02" w:rsidP="005B0E02">
      <w:pPr>
        <w:pStyle w:val="Proposal"/>
        <w:numPr>
          <w:ilvl w:val="0"/>
          <w:numId w:val="2"/>
        </w:numPr>
        <w:tabs>
          <w:tab w:val="clear" w:pos="1304"/>
        </w:tabs>
        <w:ind w:left="1701" w:hanging="1701"/>
        <w:rPr>
          <w:rFonts w:asciiTheme="minorHAnsi" w:hAnsiTheme="minorHAnsi" w:cstheme="minorHAnsi"/>
        </w:rPr>
      </w:pPr>
      <w:bookmarkStart w:id="8" w:name="_Toc71665283"/>
      <w:bookmarkStart w:id="9" w:name="_Toc78814448"/>
      <w:bookmarkStart w:id="10" w:name="_Toc86930117"/>
      <w:bookmarkStart w:id="11" w:name="_Toc95739253"/>
      <w:r w:rsidRPr="00ED0531">
        <w:rPr>
          <w:rFonts w:asciiTheme="minorHAnsi" w:hAnsiTheme="minorHAnsi" w:cstheme="minorHAnsi"/>
        </w:rPr>
        <w:t>UL scheduling request can be used as an implicit indication for PDCCH monitoring adaptation (to end the skipping or to switch to an SSSG). The SSSG (if configured) that UE monitors</w:t>
      </w:r>
      <w:r w:rsidRPr="00ED0531" w:rsidDel="002E0698">
        <w:rPr>
          <w:rFonts w:asciiTheme="minorHAnsi" w:hAnsiTheme="minorHAnsi" w:cstheme="minorHAnsi"/>
        </w:rPr>
        <w:t xml:space="preserve"> </w:t>
      </w:r>
      <w:r w:rsidRPr="00ED0531">
        <w:rPr>
          <w:rFonts w:asciiTheme="minorHAnsi" w:hAnsiTheme="minorHAnsi" w:cstheme="minorHAnsi"/>
        </w:rPr>
        <w:t>after transmitting an UL scheduling request is configurable by NW</w:t>
      </w:r>
      <w:bookmarkEnd w:id="8"/>
      <w:bookmarkEnd w:id="9"/>
      <w:r w:rsidRPr="00ED0531">
        <w:rPr>
          <w:rFonts w:asciiTheme="minorHAnsi" w:hAnsiTheme="minorHAnsi" w:cstheme="minorHAnsi"/>
        </w:rPr>
        <w:t>.</w:t>
      </w:r>
      <w:bookmarkEnd w:id="10"/>
      <w:bookmarkEnd w:id="11"/>
    </w:p>
    <w:p w14:paraId="016C5B30" w14:textId="77777777" w:rsidR="005B0E02" w:rsidRPr="000E0C7D" w:rsidRDefault="005B0E02" w:rsidP="005B0E02">
      <w:pPr>
        <w:rPr>
          <w:lang w:eastAsia="ja-JP"/>
        </w:rPr>
      </w:pPr>
    </w:p>
    <w:p w14:paraId="5BE4DC4D" w14:textId="77777777" w:rsidR="005B0E02" w:rsidRDefault="005B0E02" w:rsidP="005B0E02">
      <w:pPr>
        <w:pStyle w:val="Heading3"/>
      </w:pPr>
      <w:r>
        <w:t>2.1.4</w:t>
      </w:r>
      <w:r>
        <w:tab/>
        <w:t>Relation with CDRX functionality</w:t>
      </w:r>
    </w:p>
    <w:p w14:paraId="75E44C10" w14:textId="77777777" w:rsidR="005B0E02" w:rsidRPr="00CF16E7" w:rsidRDefault="005B0E02" w:rsidP="005B0E02">
      <w:pPr>
        <w:jc w:val="both"/>
        <w:rPr>
          <w:lang w:val="en-GB" w:eastAsia="ja-JP"/>
        </w:rPr>
      </w:pPr>
      <w:r w:rsidRPr="00CF16E7">
        <w:rPr>
          <w:lang w:val="en-GB" w:eastAsia="ja-JP"/>
        </w:rPr>
        <w:t>In SSSG-switching, the power-saving is achieved by setting the SSSG0 and SSSG1 with different periodicities. When the data burst comes, the NW will command the UE to monitor PDCCH with the dense SSSG and when the data burst ends, the NW will command the UE to switch to the sparse SSSG. This will be very beneficial during the IAT. This is because the NW only needs to wait for a maximum of one SS period of sparse monitoring before being able to send PDCCH. However, it is preferable if UE can switch to dense monitoring when monitoring PDCCH at the next On-duration, because the UE will otherwise monitor PDCCH sparsely even during On-duration, which would be undesirable, due to the smaller number of opportunities for addressing the UE. If the NW misses the chance to send the PDCCH during this period, the NW will need to wait for one DRX cycle before the next scheduling opportunity comes.</w:t>
      </w:r>
    </w:p>
    <w:p w14:paraId="5246F6B3" w14:textId="77777777" w:rsidR="005B0E02" w:rsidRPr="00B81B2C" w:rsidRDefault="005B0E02" w:rsidP="005B0E02">
      <w:pPr>
        <w:pStyle w:val="Proposal"/>
        <w:numPr>
          <w:ilvl w:val="0"/>
          <w:numId w:val="0"/>
        </w:numPr>
        <w:rPr>
          <w:rFonts w:asciiTheme="minorHAnsi" w:hAnsiTheme="minorHAnsi" w:cstheme="minorHAnsi"/>
          <w:color w:val="A6A6A6" w:themeColor="background1" w:themeShade="A6"/>
        </w:rPr>
      </w:pPr>
    </w:p>
    <w:p w14:paraId="077318A8" w14:textId="77777777" w:rsidR="005B0E02" w:rsidRPr="00B81B2C" w:rsidRDefault="005B0E02" w:rsidP="005B0E02">
      <w:pPr>
        <w:jc w:val="center"/>
        <w:rPr>
          <w:color w:val="A6A6A6" w:themeColor="background1" w:themeShade="A6"/>
          <w:lang w:val="en-GB" w:eastAsia="ja-JP"/>
        </w:rPr>
      </w:pPr>
      <w:r w:rsidRPr="00B81B2C">
        <w:rPr>
          <w:noProof/>
          <w:color w:val="A6A6A6" w:themeColor="background1" w:themeShade="A6"/>
          <w:lang w:val="en-GB" w:eastAsia="ja-JP"/>
        </w:rPr>
        <w:drawing>
          <wp:inline distT="0" distB="0" distL="0" distR="0" wp14:anchorId="2DD871E4" wp14:editId="63960108">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6585A086" w14:textId="77777777" w:rsidR="005B0E02" w:rsidRPr="00CF16E7" w:rsidRDefault="005B0E02" w:rsidP="005B0E02">
      <w:pPr>
        <w:jc w:val="center"/>
        <w:rPr>
          <w:lang w:val="en-GB" w:eastAsia="ja-JP"/>
        </w:rPr>
      </w:pPr>
      <w:r w:rsidRPr="00CF16E7">
        <w:rPr>
          <w:lang w:val="en-GB" w:eastAsia="ja-JP"/>
        </w:rPr>
        <w:t>Figure 5. SSSG monitoring during DRX on-duration. Monitoring PDCCH in sparse SSs may increase the delay significantly.</w:t>
      </w:r>
    </w:p>
    <w:p w14:paraId="526C170F" w14:textId="77777777" w:rsidR="005B0E02" w:rsidRPr="00B81B2C" w:rsidRDefault="005B0E02" w:rsidP="005B0E02">
      <w:pPr>
        <w:rPr>
          <w:color w:val="A6A6A6" w:themeColor="background1" w:themeShade="A6"/>
          <w:lang w:val="en-GB" w:eastAsia="ja-JP"/>
        </w:rPr>
      </w:pPr>
    </w:p>
    <w:p w14:paraId="17BD873F" w14:textId="77777777" w:rsidR="005B0E02" w:rsidRPr="00CF16E7" w:rsidRDefault="005B0E02" w:rsidP="005B0E02">
      <w:pPr>
        <w:jc w:val="both"/>
        <w:rPr>
          <w:lang w:val="en-GB" w:eastAsia="ja-JP"/>
        </w:rPr>
      </w:pPr>
      <w:r w:rsidRPr="00CF16E7">
        <w:rPr>
          <w:lang w:val="en-GB" w:eastAsia="ja-JP"/>
        </w:rPr>
        <w:lastRenderedPageBreak/>
        <w:t>Considering the above, the relation between SSSG-switching and the DRX needs to be clarified. To guarantee that the UE will start monitoring using dense SSSG during the DRX on-duration, it will be beneficial if the SS-set group that needs to be assumed at beginning of On-duration can be configurable to the NW.</w:t>
      </w:r>
    </w:p>
    <w:p w14:paraId="5CFA4BD5" w14:textId="77777777" w:rsidR="005B0E02" w:rsidRPr="00ED0531" w:rsidRDefault="005B0E02" w:rsidP="005B0E02">
      <w:pPr>
        <w:pStyle w:val="Proposal"/>
        <w:numPr>
          <w:ilvl w:val="0"/>
          <w:numId w:val="2"/>
        </w:numPr>
        <w:tabs>
          <w:tab w:val="clear" w:pos="1304"/>
        </w:tabs>
        <w:ind w:left="1701" w:hanging="1701"/>
        <w:rPr>
          <w:rFonts w:asciiTheme="minorHAnsi" w:hAnsiTheme="minorHAnsi" w:cstheme="minorHAnsi"/>
        </w:rPr>
      </w:pPr>
      <w:bookmarkStart w:id="12" w:name="_Toc71665282"/>
      <w:bookmarkStart w:id="13" w:name="_Toc78814447"/>
      <w:bookmarkStart w:id="14" w:name="_Toc86930118"/>
      <w:bookmarkStart w:id="15" w:name="_Toc95739254"/>
      <w:r w:rsidRPr="00ED0531">
        <w:rPr>
          <w:rFonts w:asciiTheme="minorHAnsi" w:hAnsiTheme="minorHAnsi" w:cstheme="minorHAnsi"/>
        </w:rPr>
        <w:t>For UE configured with DRX, higher layer signaling can configure SSSG that a UE monitors when coming out of DRX to monitor an ON duration.</w:t>
      </w:r>
      <w:bookmarkEnd w:id="12"/>
      <w:bookmarkEnd w:id="13"/>
      <w:bookmarkEnd w:id="14"/>
      <w:bookmarkEnd w:id="15"/>
    </w:p>
    <w:p w14:paraId="093C2351" w14:textId="77777777" w:rsidR="005B0E02" w:rsidRDefault="005B0E02" w:rsidP="005B0E02">
      <w:pPr>
        <w:rPr>
          <w:lang w:eastAsia="ja-JP"/>
        </w:rPr>
      </w:pPr>
    </w:p>
    <w:p w14:paraId="31EBE931" w14:textId="5995E6AA" w:rsidR="005423B0" w:rsidRPr="006502DC" w:rsidRDefault="00787E16" w:rsidP="006502DC">
      <w:pPr>
        <w:pStyle w:val="Heading2"/>
      </w:pPr>
      <w:r>
        <w:t>2.3</w:t>
      </w:r>
      <w:r>
        <w:tab/>
        <w:t>Application delay</w:t>
      </w:r>
    </w:p>
    <w:p w14:paraId="71E4B219" w14:textId="77777777" w:rsidR="0025466E" w:rsidRPr="00C226D6" w:rsidRDefault="0025466E" w:rsidP="0025466E">
      <w:pPr>
        <w:pStyle w:val="Heading3"/>
      </w:pPr>
      <w:r w:rsidRPr="00C226D6">
        <w:t>2.3.1</w:t>
      </w:r>
      <w:r w:rsidRPr="00C226D6">
        <w:tab/>
        <w:t>Application delay for SSSG-switching</w:t>
      </w:r>
    </w:p>
    <w:p w14:paraId="6D9168D5" w14:textId="77777777" w:rsidR="0025466E" w:rsidRPr="00C226D6" w:rsidRDefault="0025466E" w:rsidP="006A57D2">
      <w:pPr>
        <w:pStyle w:val="Heading4"/>
        <w:ind w:left="1134" w:hanging="1134"/>
      </w:pPr>
      <w:r w:rsidRPr="00C226D6">
        <w:t>2.3.1.1</w:t>
      </w:r>
      <w:r w:rsidRPr="00C226D6">
        <w:tab/>
      </w:r>
      <w:r>
        <w:t>Minimum application delay</w:t>
      </w:r>
    </w:p>
    <w:p w14:paraId="7E6FA80A" w14:textId="77777777" w:rsidR="0025466E" w:rsidRPr="00920A37" w:rsidRDefault="0025466E" w:rsidP="0008109B">
      <w:pPr>
        <w:jc w:val="both"/>
        <w:rPr>
          <w:lang w:val="en-GB" w:eastAsia="ja-JP"/>
        </w:rPr>
      </w:pPr>
      <w:r w:rsidRPr="00920A37">
        <w:rPr>
          <w:lang w:val="en-GB" w:eastAsia="ja-JP"/>
        </w:rPr>
        <w:t>The alignment between the NW and the UE in terms of the SSSG used to monitor PDCCH in one instance is important, e.g., to avoid the case of the NW transmits PDCCH according to one SSSG while the UE is still monitoring PDCCH according to another SSSG.</w:t>
      </w:r>
    </w:p>
    <w:p w14:paraId="1C8E80CB" w14:textId="196FD9BB" w:rsidR="0025466E" w:rsidRPr="008B75E7" w:rsidRDefault="0025466E" w:rsidP="0008109B">
      <w:pPr>
        <w:jc w:val="both"/>
        <w:rPr>
          <w:lang w:val="en-GB" w:eastAsia="ja-JP"/>
        </w:rPr>
      </w:pPr>
      <w:r w:rsidRPr="008B75E7">
        <w:rPr>
          <w:lang w:val="en-GB" w:eastAsia="ja-JP"/>
        </w:rPr>
        <w:t>In SSSG-switching, having the adaptation applied after the UE successfully decodes the PDSCH scheduled by the PDCCH that contains the adaptation indication is preferable. Note, however, besides explicit indication via scheduling DCI, the transition between SSSGs can also be triggered by other indications, e.g., the end of the switching timer. Considering this, a baseline application delay needs to be agreed upon.</w:t>
      </w:r>
    </w:p>
    <w:p w14:paraId="21EFBAA6" w14:textId="4339B7D4" w:rsidR="0025466E" w:rsidRPr="002B7242" w:rsidRDefault="0025466E" w:rsidP="0008109B">
      <w:pPr>
        <w:jc w:val="both"/>
        <w:rPr>
          <w:lang w:val="en-GB" w:eastAsia="ja-JP"/>
        </w:rPr>
      </w:pPr>
      <w:r w:rsidRPr="002B7242">
        <w:rPr>
          <w:lang w:val="en-GB" w:eastAsia="ja-JP"/>
        </w:rPr>
        <w:t xml:space="preserve">In Rel. 16 </w:t>
      </w:r>
      <w:r w:rsidR="00897E6D">
        <w:rPr>
          <w:lang w:val="en-GB" w:eastAsia="ja-JP"/>
        </w:rPr>
        <w:t xml:space="preserve">NR-U and its extension in B52, for </w:t>
      </w:r>
      <w:r w:rsidRPr="002B7242">
        <w:rPr>
          <w:lang w:val="en-GB" w:eastAsia="ja-JP"/>
        </w:rPr>
        <w:t xml:space="preserve">SSSG-switching feature, the </w:t>
      </w:r>
      <w:r>
        <w:rPr>
          <w:lang w:val="en-GB" w:eastAsia="ja-JP"/>
        </w:rPr>
        <w:t>minimum</w:t>
      </w:r>
      <w:r w:rsidRPr="002B7242">
        <w:rPr>
          <w:lang w:val="en-GB" w:eastAsia="ja-JP"/>
        </w:rPr>
        <w:t xml:space="preserve"> time for the application delay is </w:t>
      </w:r>
      <w:r w:rsidR="00712579">
        <w:rPr>
          <w:lang w:val="en-GB" w:eastAsia="ja-JP"/>
        </w:rPr>
        <w:t>captured</w:t>
      </w:r>
      <w:r w:rsidRPr="002B7242">
        <w:rPr>
          <w:lang w:val="en-GB" w:eastAsia="ja-JP"/>
        </w:rPr>
        <w:t xml:space="preserve"> in TS 38.213 Section 10.4. The values are as follows:</w:t>
      </w:r>
    </w:p>
    <w:p w14:paraId="04D8300D" w14:textId="77777777" w:rsidR="0025466E" w:rsidRPr="00CB61B6" w:rsidRDefault="0025466E" w:rsidP="0025466E">
      <w:pPr>
        <w:pStyle w:val="TH"/>
        <w:rPr>
          <w:rFonts w:asciiTheme="minorHAnsi" w:hAnsiTheme="minorHAnsi" w:cstheme="minorHAnsi"/>
        </w:rPr>
      </w:pPr>
      <w:r w:rsidRPr="00CB61B6">
        <w:rPr>
          <w:rFonts w:asciiTheme="minorHAnsi" w:hAnsiTheme="minorHAnsi" w:cstheme="minorHAnsi"/>
        </w:rPr>
        <w:t xml:space="preserve">Table 1: Minimum value of </w:t>
      </w:r>
      <m:oMath>
        <m:sSub>
          <m:sSubPr>
            <m:ctrlPr>
              <w:rPr>
                <w:rFonts w:ascii="Cambria Math" w:hAnsi="Cambria Math" w:cstheme="minorHAnsi"/>
                <w:i/>
              </w:rPr>
            </m:ctrlPr>
          </m:sSubPr>
          <m:e>
            <m:r>
              <m:rPr>
                <m:sty m:val="bi"/>
              </m:rPr>
              <w:rPr>
                <w:rFonts w:ascii="Cambria Math" w:hAnsi="Cambria Math" w:cstheme="minorHAnsi"/>
              </w:rPr>
              <m:t>P</m:t>
            </m:r>
          </m:e>
          <m:sub>
            <m:r>
              <m:rPr>
                <m:sty m:val="bi"/>
              </m:rPr>
              <w:rPr>
                <w:rFonts w:ascii="Cambria Math" w:hAnsi="Cambria Math" w:cstheme="minorHAnsi"/>
              </w:rPr>
              <m:t>switch</m:t>
            </m:r>
          </m:sub>
        </m:sSub>
      </m:oMath>
      <w:r w:rsidRPr="00CB61B6">
        <w:rPr>
          <w:rFonts w:asciiTheme="minorHAnsi" w:hAnsiTheme="minorHAnsi" w:cstheme="minorHAnsi"/>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F73C32" w:rsidRPr="00B916EC" w14:paraId="37418831" w14:textId="77777777" w:rsidTr="00942284">
        <w:trPr>
          <w:cantSplit/>
          <w:jc w:val="center"/>
        </w:trPr>
        <w:tc>
          <w:tcPr>
            <w:tcW w:w="300" w:type="dxa"/>
            <w:shd w:val="clear" w:color="auto" w:fill="E0E0E0"/>
            <w:vAlign w:val="center"/>
          </w:tcPr>
          <w:p w14:paraId="56169B24" w14:textId="77777777" w:rsidR="00F73C32" w:rsidRPr="00D113F8" w:rsidRDefault="00F73C32" w:rsidP="0094228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C4A958F" w14:textId="77777777" w:rsidR="00F73C32" w:rsidRPr="00D113F8" w:rsidRDefault="00F73C32" w:rsidP="00942284">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145874DB" w14:textId="77777777" w:rsidR="00F73C32" w:rsidRPr="00D113F8" w:rsidRDefault="00F73C32" w:rsidP="00942284">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2087AA3C" w14:textId="77777777" w:rsidR="00F73C32" w:rsidRPr="00D113F8" w:rsidRDefault="00F73C32" w:rsidP="00942284">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F9A8DE0" w14:textId="77777777" w:rsidR="00F73C32" w:rsidRPr="00D113F8" w:rsidRDefault="00F73C32" w:rsidP="00942284">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F73C32" w:rsidRPr="00B916EC" w14:paraId="4162DC99" w14:textId="77777777" w:rsidTr="00942284">
        <w:trPr>
          <w:cantSplit/>
          <w:jc w:val="center"/>
        </w:trPr>
        <w:tc>
          <w:tcPr>
            <w:tcW w:w="300" w:type="dxa"/>
            <w:vAlign w:val="center"/>
          </w:tcPr>
          <w:p w14:paraId="68129405" w14:textId="77777777" w:rsidR="00F73C32" w:rsidRPr="00B916EC" w:rsidRDefault="00F73C32" w:rsidP="00942284">
            <w:pPr>
              <w:pStyle w:val="TAC"/>
            </w:pPr>
            <w:r>
              <w:t>0</w:t>
            </w:r>
          </w:p>
        </w:tc>
        <w:tc>
          <w:tcPr>
            <w:tcW w:w="3385" w:type="dxa"/>
            <w:vAlign w:val="center"/>
          </w:tcPr>
          <w:p w14:paraId="2BC563F3" w14:textId="77777777" w:rsidR="00F73C32" w:rsidRPr="00B916EC" w:rsidRDefault="00F73C32" w:rsidP="00942284">
            <w:pPr>
              <w:pStyle w:val="TAC"/>
            </w:pPr>
            <w:r>
              <w:t>25</w:t>
            </w:r>
          </w:p>
        </w:tc>
        <w:tc>
          <w:tcPr>
            <w:tcW w:w="3420" w:type="dxa"/>
          </w:tcPr>
          <w:p w14:paraId="4E983CD7" w14:textId="77777777" w:rsidR="00F73C32" w:rsidRPr="00B916EC" w:rsidRDefault="00F73C32" w:rsidP="00942284">
            <w:pPr>
              <w:pStyle w:val="TAC"/>
            </w:pPr>
            <w:r>
              <w:t>10</w:t>
            </w:r>
          </w:p>
        </w:tc>
      </w:tr>
      <w:tr w:rsidR="00F73C32" w:rsidRPr="00B916EC" w14:paraId="3948BAA0" w14:textId="77777777" w:rsidTr="00942284">
        <w:trPr>
          <w:cantSplit/>
          <w:jc w:val="center"/>
        </w:trPr>
        <w:tc>
          <w:tcPr>
            <w:tcW w:w="300" w:type="dxa"/>
            <w:vAlign w:val="center"/>
          </w:tcPr>
          <w:p w14:paraId="08B5A0EB" w14:textId="77777777" w:rsidR="00F73C32" w:rsidRPr="00B916EC" w:rsidRDefault="00F73C32" w:rsidP="00942284">
            <w:pPr>
              <w:pStyle w:val="TAC"/>
            </w:pPr>
            <w:r>
              <w:t>1</w:t>
            </w:r>
          </w:p>
        </w:tc>
        <w:tc>
          <w:tcPr>
            <w:tcW w:w="3385" w:type="dxa"/>
            <w:vAlign w:val="center"/>
          </w:tcPr>
          <w:p w14:paraId="3AEB07DA" w14:textId="77777777" w:rsidR="00F73C32" w:rsidRPr="00B916EC" w:rsidRDefault="00F73C32" w:rsidP="00942284">
            <w:pPr>
              <w:pStyle w:val="TAC"/>
            </w:pPr>
            <w:r>
              <w:t>25</w:t>
            </w:r>
          </w:p>
        </w:tc>
        <w:tc>
          <w:tcPr>
            <w:tcW w:w="3420" w:type="dxa"/>
          </w:tcPr>
          <w:p w14:paraId="6598FDAD" w14:textId="77777777" w:rsidR="00F73C32" w:rsidRDefault="00F73C32" w:rsidP="00942284">
            <w:pPr>
              <w:pStyle w:val="TAC"/>
            </w:pPr>
            <w:r>
              <w:t>12</w:t>
            </w:r>
          </w:p>
        </w:tc>
      </w:tr>
      <w:tr w:rsidR="00F73C32" w:rsidRPr="00B916EC" w14:paraId="39166142" w14:textId="77777777" w:rsidTr="00942284">
        <w:trPr>
          <w:cantSplit/>
          <w:jc w:val="center"/>
        </w:trPr>
        <w:tc>
          <w:tcPr>
            <w:tcW w:w="300" w:type="dxa"/>
            <w:vAlign w:val="center"/>
          </w:tcPr>
          <w:p w14:paraId="362C71BB" w14:textId="77777777" w:rsidR="00F73C32" w:rsidRPr="00B916EC" w:rsidRDefault="00F73C32" w:rsidP="00942284">
            <w:pPr>
              <w:pStyle w:val="TAC"/>
            </w:pPr>
            <w:r>
              <w:t>2</w:t>
            </w:r>
          </w:p>
        </w:tc>
        <w:tc>
          <w:tcPr>
            <w:tcW w:w="3385" w:type="dxa"/>
            <w:vAlign w:val="center"/>
          </w:tcPr>
          <w:p w14:paraId="6213D219" w14:textId="77777777" w:rsidR="00F73C32" w:rsidRPr="00B916EC" w:rsidRDefault="00F73C32" w:rsidP="00942284">
            <w:pPr>
              <w:pStyle w:val="TAC"/>
            </w:pPr>
            <w:r>
              <w:t>25</w:t>
            </w:r>
          </w:p>
        </w:tc>
        <w:tc>
          <w:tcPr>
            <w:tcW w:w="3420" w:type="dxa"/>
          </w:tcPr>
          <w:p w14:paraId="2D6FE7A5" w14:textId="77777777" w:rsidR="00F73C32" w:rsidRDefault="00F73C32" w:rsidP="00942284">
            <w:pPr>
              <w:pStyle w:val="TAC"/>
            </w:pPr>
            <w:r>
              <w:t>22</w:t>
            </w:r>
          </w:p>
        </w:tc>
      </w:tr>
      <w:tr w:rsidR="00F73C32" w:rsidRPr="00B27E56" w14:paraId="1228D099" w14:textId="77777777" w:rsidTr="0094228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A9E0349" w14:textId="77777777" w:rsidR="00F73C32" w:rsidRPr="00B27E56" w:rsidRDefault="00F73C32" w:rsidP="00942284">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0AF0C6FD" w14:textId="77777777" w:rsidR="00F73C32" w:rsidRPr="00B27E56" w:rsidRDefault="00F73C32" w:rsidP="00942284">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520E859E" w14:textId="77777777" w:rsidR="00F73C32" w:rsidRPr="00B27E56" w:rsidRDefault="00F73C32" w:rsidP="00942284">
            <w:pPr>
              <w:pStyle w:val="TAC"/>
            </w:pPr>
            <w:r w:rsidRPr="00B27E56">
              <w:t>-</w:t>
            </w:r>
          </w:p>
        </w:tc>
      </w:tr>
      <w:tr w:rsidR="00F73C32" w:rsidRPr="00B27E56" w14:paraId="1CB793DD" w14:textId="77777777" w:rsidTr="0094228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2D73B06" w14:textId="77777777" w:rsidR="00F73C32" w:rsidRPr="00B27E56" w:rsidRDefault="00F73C32" w:rsidP="00942284">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56002CEB" w14:textId="77777777" w:rsidR="00F73C32" w:rsidRPr="00B27E56" w:rsidRDefault="00F73C32" w:rsidP="00942284">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5FC8281C" w14:textId="77777777" w:rsidR="00F73C32" w:rsidRPr="00B27E56" w:rsidRDefault="00F73C32" w:rsidP="00942284">
            <w:pPr>
              <w:pStyle w:val="TAC"/>
            </w:pPr>
            <w:r w:rsidRPr="00B27E56">
              <w:t>-</w:t>
            </w:r>
          </w:p>
        </w:tc>
      </w:tr>
      <w:tr w:rsidR="00F73C32" w:rsidRPr="00B27E56" w14:paraId="2B5FAB69" w14:textId="77777777" w:rsidTr="0094228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9B04905" w14:textId="77777777" w:rsidR="00F73C32" w:rsidRPr="00B27E56" w:rsidRDefault="00F73C32" w:rsidP="00942284">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AEE2674" w14:textId="77777777" w:rsidR="00F73C32" w:rsidRPr="00B27E56" w:rsidRDefault="00F73C32" w:rsidP="00942284">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6D45D740" w14:textId="77777777" w:rsidR="00F73C32" w:rsidRPr="00B27E56" w:rsidRDefault="00F73C32" w:rsidP="00942284">
            <w:pPr>
              <w:pStyle w:val="TAC"/>
            </w:pPr>
            <w:r w:rsidRPr="00B27E56">
              <w:t>-</w:t>
            </w:r>
          </w:p>
        </w:tc>
      </w:tr>
    </w:tbl>
    <w:p w14:paraId="375526C7" w14:textId="77777777" w:rsidR="0025466E" w:rsidRPr="00CB61B6" w:rsidRDefault="0025466E" w:rsidP="0025466E">
      <w:pPr>
        <w:rPr>
          <w:lang w:val="en-GB" w:eastAsia="ja-JP"/>
        </w:rPr>
      </w:pPr>
    </w:p>
    <w:p w14:paraId="58BD7B54" w14:textId="23848041" w:rsidR="0025466E" w:rsidRPr="00CB61B6" w:rsidRDefault="0025466E" w:rsidP="0008109B">
      <w:pPr>
        <w:jc w:val="both"/>
        <w:rPr>
          <w:lang w:val="en-GB" w:eastAsia="ja-JP"/>
        </w:rPr>
      </w:pPr>
      <w:r w:rsidRPr="00CB61B6">
        <w:rPr>
          <w:lang w:val="en-GB" w:eastAsia="ja-JP"/>
        </w:rPr>
        <w:t xml:space="preserve">The above values can be used as the </w:t>
      </w:r>
      <w:r>
        <w:rPr>
          <w:lang w:val="en-GB" w:eastAsia="ja-JP"/>
        </w:rPr>
        <w:t xml:space="preserve">minimum application delay </w:t>
      </w:r>
      <w:r w:rsidRPr="00CB61B6">
        <w:rPr>
          <w:lang w:val="en-GB" w:eastAsia="ja-JP"/>
        </w:rPr>
        <w:t xml:space="preserve">for Rel. 17 </w:t>
      </w:r>
      <w:r>
        <w:rPr>
          <w:lang w:val="en-GB" w:eastAsia="ja-JP"/>
        </w:rPr>
        <w:t xml:space="preserve">SSSG-switching. </w:t>
      </w:r>
    </w:p>
    <w:p w14:paraId="783139F3" w14:textId="02A2138D" w:rsidR="0025466E" w:rsidRPr="00ED0531" w:rsidRDefault="0025466E" w:rsidP="0008109B">
      <w:pPr>
        <w:pStyle w:val="Proposal"/>
        <w:numPr>
          <w:ilvl w:val="0"/>
          <w:numId w:val="2"/>
        </w:numPr>
        <w:rPr>
          <w:rFonts w:asciiTheme="minorHAnsi" w:hAnsiTheme="minorHAnsi" w:cstheme="minorHAnsi"/>
        </w:rPr>
      </w:pPr>
      <w:bookmarkStart w:id="16" w:name="_Toc86930119"/>
      <w:bookmarkStart w:id="17" w:name="_Toc95739255"/>
      <w:r w:rsidRPr="00ED0531">
        <w:rPr>
          <w:rFonts w:asciiTheme="minorHAnsi" w:hAnsiTheme="minorHAnsi" w:cstheme="minorHAnsi"/>
        </w:rPr>
        <w:t xml:space="preserve">The minimum application delay from SSSG-switching feature </w:t>
      </w:r>
      <w:r w:rsidR="00897E6D">
        <w:rPr>
          <w:rFonts w:asciiTheme="minorHAnsi" w:hAnsiTheme="minorHAnsi" w:cstheme="minorHAnsi"/>
        </w:rPr>
        <w:t xml:space="preserve">(as described in 38.213-h00, </w:t>
      </w:r>
      <w:r w:rsidR="00897E6D">
        <w:t xml:space="preserve">10.4-1) </w:t>
      </w:r>
      <w:r w:rsidR="00897E6D">
        <w:rPr>
          <w:rFonts w:asciiTheme="minorHAnsi" w:hAnsiTheme="minorHAnsi" w:cstheme="minorHAnsi"/>
        </w:rPr>
        <w:t>is</w:t>
      </w:r>
      <w:r w:rsidRPr="00ED0531">
        <w:rPr>
          <w:rFonts w:asciiTheme="minorHAnsi" w:hAnsiTheme="minorHAnsi" w:cstheme="minorHAnsi"/>
        </w:rPr>
        <w:t xml:space="preserve"> </w:t>
      </w:r>
      <w:r w:rsidR="00897E6D">
        <w:rPr>
          <w:rFonts w:asciiTheme="minorHAnsi" w:hAnsiTheme="minorHAnsi" w:cstheme="minorHAnsi"/>
        </w:rPr>
        <w:t>re</w:t>
      </w:r>
      <w:r w:rsidRPr="00ED0531">
        <w:rPr>
          <w:rFonts w:asciiTheme="minorHAnsi" w:hAnsiTheme="minorHAnsi" w:cstheme="minorHAnsi"/>
        </w:rPr>
        <w:t xml:space="preserve">used </w:t>
      </w:r>
      <w:r w:rsidRPr="00ED0531" w:rsidDel="00897E6D">
        <w:rPr>
          <w:rFonts w:asciiTheme="minorHAnsi" w:hAnsiTheme="minorHAnsi" w:cstheme="minorHAnsi"/>
        </w:rPr>
        <w:t>for Rel</w:t>
      </w:r>
      <w:r w:rsidR="00897E6D">
        <w:rPr>
          <w:rFonts w:asciiTheme="minorHAnsi" w:hAnsiTheme="minorHAnsi" w:cstheme="minorHAnsi"/>
        </w:rPr>
        <w:t>-</w:t>
      </w:r>
      <w:r w:rsidRPr="00ED0531" w:rsidDel="00897E6D">
        <w:rPr>
          <w:rFonts w:asciiTheme="minorHAnsi" w:hAnsiTheme="minorHAnsi" w:cstheme="minorHAnsi"/>
        </w:rPr>
        <w:t>17</w:t>
      </w:r>
      <w:bookmarkEnd w:id="16"/>
      <w:r w:rsidR="00597744">
        <w:rPr>
          <w:rFonts w:asciiTheme="minorHAnsi" w:hAnsiTheme="minorHAnsi" w:cstheme="minorHAnsi"/>
        </w:rPr>
        <w:t>.</w:t>
      </w:r>
      <w:bookmarkEnd w:id="17"/>
    </w:p>
    <w:p w14:paraId="13AC4D4C" w14:textId="184E0DB8" w:rsidR="009F0489" w:rsidRDefault="009F0489" w:rsidP="0008109B">
      <w:pPr>
        <w:jc w:val="both"/>
        <w:rPr>
          <w:lang w:eastAsia="ja-JP"/>
        </w:rPr>
      </w:pPr>
      <w:r w:rsidRPr="009F0489">
        <w:rPr>
          <w:lang w:eastAsia="ja-JP"/>
        </w:rPr>
        <w:t xml:space="preserve">Note that in SSSG-switching feature for NR-U, the application delay is </w:t>
      </w:r>
      <w:r w:rsidR="00DC4C72">
        <w:rPr>
          <w:lang w:eastAsia="ja-JP"/>
        </w:rPr>
        <w:t>on</w:t>
      </w:r>
      <w:r w:rsidRPr="009F0489">
        <w:rPr>
          <w:lang w:eastAsia="ja-JP"/>
        </w:rPr>
        <w:t xml:space="preserve"> a symbol basis. I.e., the application delay is counted from the last symbol of the received indication, e.g., the last symbol of the PDCCH containing the DCI which indicates switching. </w:t>
      </w:r>
      <w:r w:rsidR="00C3109E">
        <w:rPr>
          <w:lang w:eastAsia="ja-JP"/>
        </w:rPr>
        <w:t>A</w:t>
      </w:r>
      <w:r w:rsidRPr="009F0489">
        <w:rPr>
          <w:lang w:eastAsia="ja-JP"/>
        </w:rPr>
        <w:t xml:space="preserve"> similar approach can be used for Rel. 17 PDCCH monitoring adaptation feature</w:t>
      </w:r>
      <w:r>
        <w:rPr>
          <w:lang w:eastAsia="ja-JP"/>
        </w:rPr>
        <w:t>.</w:t>
      </w:r>
    </w:p>
    <w:p w14:paraId="77F4C214" w14:textId="355F710F" w:rsidR="00757DF3" w:rsidRDefault="00757DF3" w:rsidP="00757DF3">
      <w:pPr>
        <w:pStyle w:val="Heading4"/>
        <w:ind w:left="1134" w:hanging="1134"/>
      </w:pPr>
      <w:r>
        <w:t>2.3.1.2</w:t>
      </w:r>
      <w:r>
        <w:tab/>
      </w:r>
      <w:r w:rsidRPr="00757DF3">
        <w:t>Application delay for SSSG-switching indicated by scheduling DCI</w:t>
      </w:r>
    </w:p>
    <w:p w14:paraId="6C08F255" w14:textId="77777777" w:rsidR="00757DF3" w:rsidRPr="00035684" w:rsidRDefault="00757DF3" w:rsidP="0008109B">
      <w:pPr>
        <w:jc w:val="both"/>
        <w:rPr>
          <w:lang w:val="en-GB" w:eastAsia="ja-JP"/>
        </w:rPr>
      </w:pPr>
      <w:r w:rsidRPr="00035684">
        <w:rPr>
          <w:lang w:val="en-GB" w:eastAsia="ja-JP"/>
        </w:rPr>
        <w:t xml:space="preserve">UE power-saving through SSSG-switching is achieved by switching to an SSSG with sparse monitoring at the end of the data burst. For the case of the switching is </w:t>
      </w:r>
      <w:r>
        <w:rPr>
          <w:lang w:val="en-GB" w:eastAsia="ja-JP"/>
        </w:rPr>
        <w:t xml:space="preserve">being </w:t>
      </w:r>
      <w:r w:rsidRPr="00035684">
        <w:rPr>
          <w:lang w:val="en-GB" w:eastAsia="ja-JP"/>
        </w:rPr>
        <w:t xml:space="preserve">triggered by a scheduling DCI, the gNB would typically send the switching command anticipating that the corresponding PDSCH is successfully received. </w:t>
      </w:r>
      <w:r w:rsidRPr="00035684">
        <w:rPr>
          <w:lang w:val="en-GB" w:eastAsia="ja-JP"/>
        </w:rPr>
        <w:lastRenderedPageBreak/>
        <w:t>However, this cannot be always guaranteed, and premature switching to sparse monitoring increases delays in packet delivery.</w:t>
      </w:r>
    </w:p>
    <w:p w14:paraId="2E4589C9" w14:textId="77777777" w:rsidR="00757DF3" w:rsidRPr="00B81B2C" w:rsidRDefault="00757DF3" w:rsidP="0008109B">
      <w:pPr>
        <w:jc w:val="both"/>
        <w:rPr>
          <w:color w:val="A6A6A6" w:themeColor="background1" w:themeShade="A6"/>
          <w:lang w:val="en-GB" w:eastAsia="ja-JP"/>
        </w:rPr>
      </w:pPr>
      <w:r w:rsidRPr="008225DF">
        <w:rPr>
          <w:lang w:val="en-GB" w:eastAsia="ja-JP"/>
        </w:rPr>
        <w:t>Straightforwardly, this issue can be omitted when the UE feedback (e.g., ACK/NACK) is considered for the adaptation, e.g., the UE will only switch to the sparser SS after it successfully decodes the PDSCH scheduled using the PDCCH that contains the switching indication. This approach is preferable because it does not require a complex mechanism. For example, in another option, we may want to apply the switching immediately after the indication, and if the UE fails to decode the PDSCH, the UE may then monitor the possible retransmission. Here, additional complexities in the mechanism may come from:</w:t>
      </w:r>
    </w:p>
    <w:p w14:paraId="3CC3B4DE" w14:textId="77777777" w:rsidR="00757DF3" w:rsidRPr="001C6202" w:rsidRDefault="00757DF3" w:rsidP="0008109B">
      <w:pPr>
        <w:pStyle w:val="ListParagraph"/>
        <w:numPr>
          <w:ilvl w:val="0"/>
          <w:numId w:val="15"/>
        </w:numPr>
        <w:jc w:val="both"/>
        <w:rPr>
          <w:lang w:val="en-GB" w:eastAsia="ja-JP"/>
        </w:rPr>
      </w:pPr>
      <w:r w:rsidRPr="001C6202">
        <w:rPr>
          <w:lang w:val="en-GB" w:eastAsia="ja-JP"/>
        </w:rPr>
        <w:t>A relation between the retransmission timer with the SSSG may need to be defined, e.g., what SSSG needs to be applied during the retransmission window. There is also a possibility that the UE needs to switch back and forth between SSSGs.</w:t>
      </w:r>
    </w:p>
    <w:p w14:paraId="3AFE821D" w14:textId="77777777" w:rsidR="00757DF3" w:rsidRPr="001C6202" w:rsidRDefault="00757DF3" w:rsidP="0008109B">
      <w:pPr>
        <w:pStyle w:val="ListParagraph"/>
        <w:numPr>
          <w:ilvl w:val="0"/>
          <w:numId w:val="15"/>
        </w:numPr>
        <w:jc w:val="both"/>
        <w:rPr>
          <w:lang w:val="en-GB" w:eastAsia="ja-JP"/>
        </w:rPr>
      </w:pPr>
      <w:r w:rsidRPr="001C6202">
        <w:t>For the case of switching from sparse to dense (e.g., at the start of the data burst), the NW may already change to denser SSSG while the UE</w:t>
      </w:r>
      <w:r w:rsidRPr="001C6202">
        <w:rPr>
          <w:lang w:val="en-US"/>
        </w:rPr>
        <w:t xml:space="preserve"> is</w:t>
      </w:r>
      <w:r w:rsidRPr="001C6202">
        <w:t xml:space="preserve"> still in the sparse SSSG.</w:t>
      </w:r>
    </w:p>
    <w:p w14:paraId="50D267BA" w14:textId="77777777" w:rsidR="00757DF3" w:rsidRPr="001C6202" w:rsidRDefault="00757DF3" w:rsidP="0008109B">
      <w:pPr>
        <w:pStyle w:val="ListParagraph"/>
        <w:numPr>
          <w:ilvl w:val="0"/>
          <w:numId w:val="15"/>
        </w:numPr>
        <w:jc w:val="both"/>
        <w:rPr>
          <w:lang w:val="en-GB" w:eastAsia="ja-JP"/>
        </w:rPr>
      </w:pPr>
      <w:r w:rsidRPr="001C6202">
        <w:t>In some cases, e.g., if the PDSCH is failed to be decoded one or more times, the retransmission window may collide with the DRX on-duration. How to handle such</w:t>
      </w:r>
      <w:r w:rsidRPr="001C6202">
        <w:rPr>
          <w:lang w:val="en-US"/>
        </w:rPr>
        <w:t xml:space="preserve"> a</w:t>
      </w:r>
      <w:r w:rsidRPr="001C6202">
        <w:t xml:space="preserve"> situation needs to be agreed</w:t>
      </w:r>
      <w:r w:rsidRPr="001C6202">
        <w:rPr>
          <w:lang w:val="en-US"/>
        </w:rPr>
        <w:t xml:space="preserve"> upon</w:t>
      </w:r>
      <w:r w:rsidRPr="001C6202">
        <w:t>.</w:t>
      </w:r>
    </w:p>
    <w:p w14:paraId="32E23891" w14:textId="2431CFF6" w:rsidR="00757DF3" w:rsidRPr="007D6C54" w:rsidRDefault="00757DF3" w:rsidP="0008109B">
      <w:pPr>
        <w:pStyle w:val="ListParagraph"/>
        <w:numPr>
          <w:ilvl w:val="0"/>
          <w:numId w:val="15"/>
        </w:numPr>
        <w:jc w:val="both"/>
        <w:rPr>
          <w:lang w:val="en-GB" w:eastAsia="ja-JP"/>
        </w:rPr>
      </w:pPr>
      <w:r w:rsidRPr="001C6202">
        <w:t>The behavior of the switching timer in this scenario may also need to be agreed upon.</w:t>
      </w:r>
    </w:p>
    <w:p w14:paraId="2603E483" w14:textId="57BE74BF" w:rsidR="007D6C54" w:rsidRPr="001C6202" w:rsidRDefault="007D6C54" w:rsidP="0008109B">
      <w:pPr>
        <w:pStyle w:val="ListParagraph"/>
        <w:numPr>
          <w:ilvl w:val="0"/>
          <w:numId w:val="15"/>
        </w:numPr>
        <w:jc w:val="both"/>
        <w:rPr>
          <w:lang w:val="en-GB" w:eastAsia="ja-JP"/>
        </w:rPr>
      </w:pPr>
      <w:r>
        <w:rPr>
          <w:lang w:val="en-US"/>
        </w:rPr>
        <w:t>The possible additional delay due to the retransmission with sparse monitoring may hinder the NW to configure the UE with a “very” sparse monitoring which may reduce the potential power-saving.</w:t>
      </w:r>
    </w:p>
    <w:p w14:paraId="2BA0DF07" w14:textId="4DD88367" w:rsidR="00757DF3" w:rsidRDefault="00757DF3" w:rsidP="0008109B">
      <w:pPr>
        <w:spacing w:before="240"/>
        <w:jc w:val="both"/>
        <w:rPr>
          <w:lang w:val="en-GB" w:eastAsia="ja-JP"/>
        </w:rPr>
      </w:pPr>
      <w:r w:rsidRPr="00E52FA3">
        <w:rPr>
          <w:lang w:val="en-GB" w:eastAsia="ja-JP"/>
        </w:rPr>
        <w:t>Considering the above, it is preferable that the UE applies the indicated SSSG after the HARQ feedback</w:t>
      </w:r>
      <w:r w:rsidR="007D6C54">
        <w:rPr>
          <w:lang w:val="en-GB" w:eastAsia="ja-JP"/>
        </w:rPr>
        <w:t>.</w:t>
      </w:r>
    </w:p>
    <w:p w14:paraId="5598ECE7" w14:textId="54FA12DC" w:rsidR="00757DF3" w:rsidRPr="00ED0531" w:rsidRDefault="00757DF3" w:rsidP="0008109B">
      <w:pPr>
        <w:pStyle w:val="Proposal"/>
        <w:numPr>
          <w:ilvl w:val="0"/>
          <w:numId w:val="2"/>
        </w:numPr>
        <w:tabs>
          <w:tab w:val="clear" w:pos="1304"/>
        </w:tabs>
        <w:ind w:left="1701" w:hanging="1701"/>
        <w:rPr>
          <w:rFonts w:asciiTheme="minorHAnsi" w:hAnsiTheme="minorHAnsi" w:cstheme="minorHAnsi"/>
        </w:rPr>
      </w:pPr>
      <w:bookmarkStart w:id="18" w:name="_Toc71665280"/>
      <w:bookmarkStart w:id="19" w:name="_Toc78814445"/>
      <w:bookmarkStart w:id="20" w:name="_Toc86930122"/>
      <w:bookmarkStart w:id="21" w:name="_Toc95739256"/>
      <w:r w:rsidRPr="00ED0531">
        <w:rPr>
          <w:rFonts w:asciiTheme="minorHAnsi" w:hAnsiTheme="minorHAnsi" w:cstheme="minorHAnsi"/>
        </w:rPr>
        <w:t>For SSSG-switching</w:t>
      </w:r>
      <w:r w:rsidR="00983F94">
        <w:rPr>
          <w:rFonts w:asciiTheme="minorHAnsi" w:hAnsiTheme="minorHAnsi" w:cstheme="minorHAnsi"/>
        </w:rPr>
        <w:t xml:space="preserve"> via </w:t>
      </w:r>
      <w:r w:rsidR="00AD38D7">
        <w:rPr>
          <w:rFonts w:asciiTheme="minorHAnsi" w:hAnsiTheme="minorHAnsi" w:cstheme="minorHAnsi"/>
        </w:rPr>
        <w:t xml:space="preserve">DL </w:t>
      </w:r>
      <w:r w:rsidR="00983F94">
        <w:rPr>
          <w:rFonts w:asciiTheme="minorHAnsi" w:hAnsiTheme="minorHAnsi" w:cstheme="minorHAnsi"/>
        </w:rPr>
        <w:t>scheduling DCI,</w:t>
      </w:r>
      <w:r w:rsidRPr="00ED0531">
        <w:rPr>
          <w:rFonts w:asciiTheme="minorHAnsi" w:hAnsiTheme="minorHAnsi" w:cstheme="minorHAnsi"/>
        </w:rPr>
        <w:t xml:space="preserve"> UE applies switching command (i.e., to the indicated SSSG) after transmitting HARQ-ACK feedback</w:t>
      </w:r>
      <w:bookmarkEnd w:id="18"/>
      <w:bookmarkEnd w:id="19"/>
      <w:bookmarkEnd w:id="20"/>
      <w:r w:rsidR="007D6C54">
        <w:rPr>
          <w:rFonts w:asciiTheme="minorHAnsi" w:hAnsiTheme="minorHAnsi" w:cstheme="minorHAnsi"/>
        </w:rPr>
        <w:t>.</w:t>
      </w:r>
      <w:bookmarkEnd w:id="21"/>
    </w:p>
    <w:p w14:paraId="5E5D8614" w14:textId="77777777" w:rsidR="001569A1" w:rsidRPr="001569A1" w:rsidRDefault="001569A1" w:rsidP="00757DF3">
      <w:pPr>
        <w:rPr>
          <w:b/>
          <w:bCs/>
          <w:lang w:eastAsia="ja-JP"/>
        </w:rPr>
      </w:pPr>
    </w:p>
    <w:p w14:paraId="2DF123E1" w14:textId="19408ACF" w:rsidR="00757DF3" w:rsidRDefault="00757DF3">
      <w:pPr>
        <w:pStyle w:val="Heading3"/>
      </w:pPr>
      <w:r>
        <w:t>2.3.2</w:t>
      </w:r>
      <w:r>
        <w:tab/>
        <w:t>Application delay for PDCCH-skipping</w:t>
      </w:r>
    </w:p>
    <w:p w14:paraId="1EEAF4BF" w14:textId="1A8E9751" w:rsidR="002F3525" w:rsidRDefault="002F3525" w:rsidP="0008109B">
      <w:pPr>
        <w:jc w:val="both"/>
        <w:rPr>
          <w:lang w:eastAsia="ja-JP"/>
        </w:rPr>
      </w:pPr>
      <w:r w:rsidRPr="008B77F6">
        <w:rPr>
          <w:lang w:eastAsia="ja-JP"/>
        </w:rPr>
        <w:t>For PDCCH-skipping, the effect of the mismatch between the NW and the UE come</w:t>
      </w:r>
      <w:r w:rsidR="00BE70E6">
        <w:rPr>
          <w:lang w:eastAsia="ja-JP"/>
        </w:rPr>
        <w:t>s</w:t>
      </w:r>
      <w:r w:rsidRPr="008B77F6">
        <w:rPr>
          <w:lang w:eastAsia="ja-JP"/>
        </w:rPr>
        <w:t xml:space="preserve">  when the UE is configured with skipping durations</w:t>
      </w:r>
      <w:r w:rsidR="00BE70E6">
        <w:rPr>
          <w:lang w:eastAsia="ja-JP"/>
        </w:rPr>
        <w:t xml:space="preserve"> beyond HARQ feedback time</w:t>
      </w:r>
      <w:r w:rsidRPr="008B77F6">
        <w:rPr>
          <w:lang w:eastAsia="ja-JP"/>
        </w:rPr>
        <w:t>. Therefore, as long as the NW has opportunities to send the retransmission (if the UE fails to decode the PDSCH) the UE may still gain power-saving while not necessarily decreasing the throughput. In other words, an application delay of 0 can be applied for PDCCH-skipping.</w:t>
      </w:r>
    </w:p>
    <w:p w14:paraId="56F59151" w14:textId="795F1973" w:rsidR="00983F94" w:rsidRPr="00780E63" w:rsidRDefault="00AE0A98" w:rsidP="00983F94">
      <w:pPr>
        <w:pStyle w:val="Proposal"/>
        <w:numPr>
          <w:ilvl w:val="0"/>
          <w:numId w:val="2"/>
        </w:numPr>
        <w:tabs>
          <w:tab w:val="clear" w:pos="1304"/>
        </w:tabs>
        <w:ind w:left="1701" w:hanging="1701"/>
        <w:rPr>
          <w:rFonts w:asciiTheme="minorHAnsi" w:hAnsiTheme="minorHAnsi" w:cstheme="minorHAnsi"/>
        </w:rPr>
      </w:pPr>
      <w:bookmarkStart w:id="22" w:name="_Toc95739257"/>
      <w:r w:rsidRPr="00780E63">
        <w:rPr>
          <w:rFonts w:asciiTheme="minorHAnsi" w:hAnsiTheme="minorHAnsi" w:cstheme="minorHAnsi"/>
        </w:rPr>
        <w:t>For PDCCH-skipping via scheduling DCI, UE applies the skipping</w:t>
      </w:r>
      <w:r>
        <w:rPr>
          <w:rFonts w:asciiTheme="minorHAnsi" w:hAnsiTheme="minorHAnsi" w:cstheme="minorHAnsi"/>
        </w:rPr>
        <w:t xml:space="preserve"> at the first slot after the last OFDM symbol containing the skipping</w:t>
      </w:r>
      <w:r w:rsidRPr="00780E63">
        <w:rPr>
          <w:rFonts w:asciiTheme="minorHAnsi" w:hAnsiTheme="minorHAnsi" w:cstheme="minorHAnsi"/>
        </w:rPr>
        <w:t xml:space="preserve"> indication</w:t>
      </w:r>
      <w:r w:rsidR="00983F94" w:rsidRPr="00780E63" w:rsidDel="007758B7">
        <w:rPr>
          <w:rFonts w:asciiTheme="minorHAnsi" w:hAnsiTheme="minorHAnsi" w:cstheme="minorHAnsi"/>
        </w:rPr>
        <w:t>.</w:t>
      </w:r>
      <w:bookmarkEnd w:id="22"/>
    </w:p>
    <w:p w14:paraId="67B99E2A" w14:textId="77777777" w:rsidR="00983F94" w:rsidRPr="008B77F6" w:rsidRDefault="00983F94" w:rsidP="0008109B">
      <w:pPr>
        <w:jc w:val="both"/>
        <w:rPr>
          <w:lang w:eastAsia="ja-JP"/>
        </w:rPr>
      </w:pPr>
    </w:p>
    <w:p w14:paraId="65F43732" w14:textId="530EEF51" w:rsidR="002F3525" w:rsidRDefault="002F3525" w:rsidP="0008109B">
      <w:pPr>
        <w:jc w:val="both"/>
        <w:rPr>
          <w:lang w:eastAsia="ja-JP"/>
        </w:rPr>
      </w:pPr>
      <w:r w:rsidRPr="00375A29">
        <w:rPr>
          <w:lang w:eastAsia="ja-JP"/>
        </w:rPr>
        <w:t xml:space="preserve">In dealing with possible HARQ retransmission, </w:t>
      </w:r>
      <w:r w:rsidRPr="005B0292">
        <w:rPr>
          <w:lang w:eastAsia="ja-JP"/>
        </w:rPr>
        <w:t xml:space="preserve">having the NACK as an indication to cancel the PDCCH-skipping is preferable. After the indication is canceled, and if the NW sees that it is still beneficial for the UE to have the skipping, the NW may then send another skipping indication using the DCI carrying the PDSCH retransmission. </w:t>
      </w:r>
    </w:p>
    <w:p w14:paraId="641424D0" w14:textId="62CF7D51" w:rsidR="006C3477" w:rsidRDefault="00BE70E6" w:rsidP="0008109B">
      <w:pPr>
        <w:jc w:val="both"/>
        <w:rPr>
          <w:lang w:eastAsia="ja-JP"/>
        </w:rPr>
      </w:pPr>
      <w:r>
        <w:rPr>
          <w:lang w:eastAsia="ja-JP"/>
        </w:rPr>
        <w:t>T</w:t>
      </w:r>
      <w:r w:rsidR="006C3477">
        <w:rPr>
          <w:lang w:eastAsia="ja-JP"/>
        </w:rPr>
        <w:t>he above needs to be supported</w:t>
      </w:r>
      <w:r>
        <w:rPr>
          <w:lang w:eastAsia="ja-JP"/>
        </w:rPr>
        <w:t xml:space="preserve"> to allow operation with different use-case specific skipping durations</w:t>
      </w:r>
      <w:r w:rsidR="006C3477">
        <w:rPr>
          <w:lang w:eastAsia="ja-JP"/>
        </w:rPr>
        <w:t>. For example, if the skipping duration is large (i.e.</w:t>
      </w:r>
      <w:r>
        <w:rPr>
          <w:lang w:eastAsia="ja-JP"/>
        </w:rPr>
        <w:t>,</w:t>
      </w:r>
      <w:r w:rsidR="006C3477">
        <w:rPr>
          <w:lang w:eastAsia="ja-JP"/>
        </w:rPr>
        <w:t xml:space="preserve"> beyond HARQ feedback time,), then re</w:t>
      </w:r>
      <w:r w:rsidR="00531AB9">
        <w:rPr>
          <w:lang w:eastAsia="ja-JP"/>
        </w:rPr>
        <w:t>transmission</w:t>
      </w:r>
      <w:r w:rsidR="006C3477">
        <w:rPr>
          <w:lang w:eastAsia="ja-JP"/>
        </w:rPr>
        <w:t xml:space="preserve"> of the TB is delayed </w:t>
      </w:r>
      <w:r>
        <w:rPr>
          <w:lang w:eastAsia="ja-JP"/>
        </w:rPr>
        <w:t>until end of</w:t>
      </w:r>
      <w:r w:rsidR="006C3477">
        <w:rPr>
          <w:lang w:eastAsia="ja-JP"/>
        </w:rPr>
        <w:t xml:space="preserve"> PDCCH skipping. To avoid this, NW is forced to configure very short skipping durations, which reduces the utility of the feature from UE power consumption perspective. On the other hand, applying skipping always after ACK would imply skipping is unnecessarily delayed, which is also not helpful from UE power consumption perspective. </w:t>
      </w:r>
    </w:p>
    <w:p w14:paraId="4D076A29" w14:textId="5F1E0323" w:rsidR="00731FA6" w:rsidRDefault="00731FA6" w:rsidP="0008109B">
      <w:pPr>
        <w:jc w:val="both"/>
        <w:rPr>
          <w:lang w:eastAsia="ja-JP"/>
        </w:rPr>
      </w:pPr>
      <w:r w:rsidRPr="00731FA6">
        <w:rPr>
          <w:lang w:eastAsia="ja-JP"/>
        </w:rPr>
        <w:lastRenderedPageBreak/>
        <w:t xml:space="preserve">In previous meetings it has also been proposed to cancel skipping (i.e., UE still performs  PDCCH monitoring) when </w:t>
      </w:r>
      <w:proofErr w:type="spellStart"/>
      <w:r w:rsidRPr="00731FA6">
        <w:rPr>
          <w:lang w:eastAsia="ja-JP"/>
        </w:rPr>
        <w:t>drx-RetransmissionTimerDL</w:t>
      </w:r>
      <w:proofErr w:type="spellEnd"/>
      <w:r w:rsidRPr="00731FA6">
        <w:rPr>
          <w:lang w:eastAsia="ja-JP"/>
        </w:rPr>
        <w:t xml:space="preserve">/UL is running.  Since the </w:t>
      </w:r>
      <w:proofErr w:type="spellStart"/>
      <w:r w:rsidRPr="00731FA6">
        <w:rPr>
          <w:lang w:eastAsia="ja-JP"/>
        </w:rPr>
        <w:t>drx-RetransmissionTimerDL</w:t>
      </w:r>
      <w:proofErr w:type="spellEnd"/>
      <w:r w:rsidRPr="00731FA6">
        <w:rPr>
          <w:lang w:eastAsia="ja-JP"/>
        </w:rPr>
        <w:t xml:space="preserve">/UL is triggered when a TB is not successfully decoded (from L1 perspective a NACK is sent in the scenario), this mechanism is somewhat </w:t>
      </w:r>
      <w:proofErr w:type="gramStart"/>
      <w:r w:rsidRPr="00731FA6">
        <w:rPr>
          <w:lang w:eastAsia="ja-JP"/>
        </w:rPr>
        <w:t>similar to</w:t>
      </w:r>
      <w:proofErr w:type="gramEnd"/>
      <w:r w:rsidRPr="00731FA6">
        <w:rPr>
          <w:lang w:eastAsia="ja-JP"/>
        </w:rPr>
        <w:t xml:space="preserve"> </w:t>
      </w:r>
      <w:r w:rsidR="008F6D73">
        <w:rPr>
          <w:lang w:eastAsia="ja-JP"/>
        </w:rPr>
        <w:t>below</w:t>
      </w:r>
      <w:r w:rsidRPr="00731FA6">
        <w:rPr>
          <w:lang w:eastAsia="ja-JP"/>
        </w:rPr>
        <w:t xml:space="preserve"> Proposal. However, since the DRX parameters are configured per MAC entity or per DRX group (if supported), linking PDCCH skipping (which is L1 procedure handled per cell) with the timers is less preferable compared to </w:t>
      </w:r>
      <w:r w:rsidR="00145B6F">
        <w:rPr>
          <w:lang w:eastAsia="ja-JP"/>
        </w:rPr>
        <w:t>below</w:t>
      </w:r>
      <w:r w:rsidRPr="00731FA6">
        <w:rPr>
          <w:lang w:eastAsia="ja-JP"/>
        </w:rPr>
        <w:t xml:space="preserve"> proposal.</w:t>
      </w:r>
    </w:p>
    <w:p w14:paraId="64F65626" w14:textId="05710D2F" w:rsidR="002F3525" w:rsidRPr="00780E63" w:rsidRDefault="002F3525" w:rsidP="0008109B">
      <w:pPr>
        <w:pStyle w:val="Proposal"/>
        <w:numPr>
          <w:ilvl w:val="0"/>
          <w:numId w:val="2"/>
        </w:numPr>
        <w:tabs>
          <w:tab w:val="clear" w:pos="1304"/>
        </w:tabs>
        <w:ind w:left="1701" w:hanging="1701"/>
        <w:rPr>
          <w:rFonts w:asciiTheme="minorHAnsi" w:hAnsiTheme="minorHAnsi" w:cstheme="minorHAnsi"/>
        </w:rPr>
      </w:pPr>
      <w:bookmarkStart w:id="23" w:name="_Toc95725933"/>
      <w:bookmarkStart w:id="24" w:name="_Toc86930124"/>
      <w:bookmarkStart w:id="25" w:name="_Toc95739258"/>
      <w:bookmarkEnd w:id="23"/>
      <w:r w:rsidRPr="00780E63">
        <w:rPr>
          <w:rFonts w:asciiTheme="minorHAnsi" w:hAnsiTheme="minorHAnsi" w:cstheme="minorHAnsi"/>
        </w:rPr>
        <w:t>If the UE fails to decode the PDSCH (and transmits a NACK), skipping is canceled in the slots after the NACK transmission (if any).</w:t>
      </w:r>
      <w:bookmarkEnd w:id="24"/>
      <w:bookmarkEnd w:id="25"/>
    </w:p>
    <w:p w14:paraId="6B94E953" w14:textId="52C70964" w:rsidR="006E3848" w:rsidRDefault="006E3848">
      <w:pPr>
        <w:pStyle w:val="Heading2"/>
      </w:pPr>
      <w:r>
        <w:t xml:space="preserve">2.4 </w:t>
      </w:r>
      <w:r>
        <w:tab/>
      </w:r>
      <w:r w:rsidRPr="00E4098D">
        <w:t>Relation with BWP-switching</w:t>
      </w:r>
    </w:p>
    <w:p w14:paraId="4186285B" w14:textId="4EEC0F0D" w:rsidR="006E3848" w:rsidRPr="006E3848" w:rsidRDefault="00E4098D" w:rsidP="00E4098D">
      <w:pPr>
        <w:jc w:val="both"/>
        <w:rPr>
          <w:lang w:val="en-GB" w:eastAsia="ja-JP"/>
        </w:rPr>
      </w:pPr>
      <w:r w:rsidRPr="00E4098D">
        <w:rPr>
          <w:lang w:val="en-GB" w:eastAsia="ja-JP"/>
        </w:rPr>
        <w:t>As the PDCCH monitoring adaptation is configured per-BWP, 2 BWPs may be configured with different PDCCH monitoring adaptation configuration. Therefore, when the BWP is switched, either via DCI or via BWP inactivity timer, the state which the UE should follow in the new active BWP needs to be agreed. In addition, some parameter behavior, e.g., skipping duration or switching timer during the BWP-switching may also need to be discussed.</w:t>
      </w:r>
    </w:p>
    <w:p w14:paraId="510A4687" w14:textId="53BEEBB4" w:rsidR="00E4098D" w:rsidRPr="00E4098D" w:rsidRDefault="00B25864" w:rsidP="00E4098D">
      <w:pPr>
        <w:jc w:val="both"/>
        <w:rPr>
          <w:b/>
          <w:bCs/>
          <w:i/>
          <w:iCs/>
          <w:u w:val="single"/>
          <w:lang w:val="en-GB" w:eastAsia="ja-JP"/>
        </w:rPr>
      </w:pPr>
      <w:r>
        <w:rPr>
          <w:b/>
          <w:bCs/>
          <w:i/>
          <w:iCs/>
          <w:u w:val="single"/>
          <w:lang w:val="en-GB" w:eastAsia="ja-JP"/>
        </w:rPr>
        <w:t>Simultaneous BWP-switching and PDCCH monitoring adaptation</w:t>
      </w:r>
    </w:p>
    <w:p w14:paraId="02923D56" w14:textId="77777777" w:rsidR="00E4098D" w:rsidRDefault="00E4098D" w:rsidP="00E4098D">
      <w:pPr>
        <w:jc w:val="both"/>
        <w:rPr>
          <w:lang w:val="en-GB" w:eastAsia="ja-JP"/>
        </w:rPr>
      </w:pPr>
      <w:r w:rsidRPr="00E4098D">
        <w:rPr>
          <w:lang w:val="en-GB" w:eastAsia="ja-JP"/>
        </w:rPr>
        <w:t>When the BWP-switching is triggered by a DCI which also contains PDCCH monitoring adaptation bitfield, technically, some possible options are:</w:t>
      </w:r>
    </w:p>
    <w:p w14:paraId="18469363" w14:textId="77777777" w:rsidR="00E4098D" w:rsidRDefault="00E4098D" w:rsidP="00E4098D">
      <w:pPr>
        <w:pStyle w:val="ListParagraph"/>
        <w:numPr>
          <w:ilvl w:val="0"/>
          <w:numId w:val="23"/>
        </w:numPr>
        <w:jc w:val="both"/>
        <w:rPr>
          <w:lang w:val="en-GB" w:eastAsia="ja-JP"/>
        </w:rPr>
      </w:pPr>
      <w:r w:rsidRPr="00E4098D">
        <w:rPr>
          <w:lang w:val="en-GB" w:eastAsia="ja-JP"/>
        </w:rPr>
        <w:t>Alt 1: The configuration of the source BWP is used for PDCCH monitoring adaptation at the first slot of the target BWP.</w:t>
      </w:r>
    </w:p>
    <w:p w14:paraId="49A3DB90" w14:textId="77777777" w:rsidR="00E4098D" w:rsidRDefault="00E4098D" w:rsidP="00E4098D">
      <w:pPr>
        <w:pStyle w:val="ListParagraph"/>
        <w:numPr>
          <w:ilvl w:val="0"/>
          <w:numId w:val="23"/>
        </w:numPr>
        <w:jc w:val="both"/>
        <w:rPr>
          <w:lang w:val="en-GB" w:eastAsia="ja-JP"/>
        </w:rPr>
      </w:pPr>
      <w:r w:rsidRPr="00E4098D">
        <w:rPr>
          <w:lang w:val="en-GB" w:eastAsia="ja-JP"/>
        </w:rPr>
        <w:t>Alt 2: The configuration of the target BWP is used for PDCCH monitoring adaptation at the first slot of the target BWP.</w:t>
      </w:r>
    </w:p>
    <w:p w14:paraId="2DBEDE21" w14:textId="2E2B0792" w:rsidR="00E4098D" w:rsidRDefault="00E4098D" w:rsidP="00E4098D">
      <w:pPr>
        <w:pStyle w:val="ListParagraph"/>
        <w:numPr>
          <w:ilvl w:val="0"/>
          <w:numId w:val="23"/>
        </w:numPr>
        <w:spacing w:after="240"/>
        <w:jc w:val="both"/>
        <w:rPr>
          <w:lang w:val="en-GB" w:eastAsia="ja-JP"/>
        </w:rPr>
      </w:pPr>
      <w:r w:rsidRPr="00E4098D">
        <w:rPr>
          <w:lang w:val="en-GB" w:eastAsia="ja-JP"/>
        </w:rPr>
        <w:t>Alt 3: A default behavior starts when the UE switches to a new BWP (e.g., SSSG0 and no skipping).</w:t>
      </w:r>
    </w:p>
    <w:p w14:paraId="3679073E" w14:textId="015F51B7" w:rsidR="00E4098D" w:rsidRDefault="00116715" w:rsidP="00E4098D">
      <w:pPr>
        <w:jc w:val="both"/>
        <w:rPr>
          <w:lang w:val="en-GB" w:eastAsia="ja-JP"/>
        </w:rPr>
      </w:pPr>
      <w:r w:rsidRPr="00116715">
        <w:rPr>
          <w:lang w:val="en-GB" w:eastAsia="ja-JP"/>
        </w:rPr>
        <w:t xml:space="preserve">Alt 1 and Alt 2 may give a better option in terms of giving a better flexibility, e.g., the NW may determine the behavior when the UE starts using the target BWP. However, it may also bring a challenge, </w:t>
      </w:r>
      <w:proofErr w:type="gramStart"/>
      <w:r w:rsidRPr="00116715">
        <w:rPr>
          <w:lang w:val="en-GB" w:eastAsia="ja-JP"/>
        </w:rPr>
        <w:t>in particular when</w:t>
      </w:r>
      <w:proofErr w:type="gramEnd"/>
      <w:r w:rsidRPr="00116715">
        <w:rPr>
          <w:lang w:val="en-GB" w:eastAsia="ja-JP"/>
        </w:rPr>
        <w:t xml:space="preserve"> the configuration difference between the source and the target BWP also includes differences on the codepoints, e.g., when the source BWP is configured with 2 SSSGs while the target BWP is configured with 3 skipping duration. If Alt 1 is used, there will be an inconsistency as the source BWP could only indicate whether to use SSSG0 or SSSG1 while the target BWP is not configured with SSSG-switching. Technically, Alt 2 can be used as the adaptation depends on the target BWP configurations, i.e., the target BWP will be able to apply the PDCCH monitoring adaptation configuration. One thing that may need to be considered with this Alt is that there should be an agreement on the interpretation of the codepoint when the size of the PDCCH monitoring adaptation bitfield of the source BWP and the target BWP is different. In the above example, the source BWP could only indicate either 0 or 1 while the target BWP has a codepoint of 00, 01, 10, and 11. Therefore, if Al</w:t>
      </w:r>
      <w:r w:rsidR="005F471E">
        <w:rPr>
          <w:lang w:val="en-GB" w:eastAsia="ja-JP"/>
        </w:rPr>
        <w:t>t</w:t>
      </w:r>
      <w:r w:rsidRPr="00116715">
        <w:rPr>
          <w:lang w:val="en-GB" w:eastAsia="ja-JP"/>
        </w:rPr>
        <w:t>2 is used, a mapping between codepoints for the case of the size of the PDCCH monitoring adaptation bitfield of the target BWP and the source BWP different, is required. Alt 3, on the other hand, has a more consistent state interpretation. However, this option may be less flexible, e.g., the UE cannot be indicated to start with SSSG1 in the target BWP.</w:t>
      </w:r>
    </w:p>
    <w:p w14:paraId="5C0CC36F" w14:textId="3EB0D635" w:rsidR="00DF1020" w:rsidRDefault="003B2709" w:rsidP="00E4098D">
      <w:pPr>
        <w:jc w:val="both"/>
        <w:rPr>
          <w:lang w:val="en-GB" w:eastAsia="ja-JP"/>
        </w:rPr>
      </w:pPr>
      <w:r>
        <w:rPr>
          <w:lang w:val="en-GB" w:eastAsia="ja-JP"/>
        </w:rPr>
        <w:t>Note that depends on the agreement on the above alternatives, the SSSG-switching timer behavior may also needs to be agreed, e.g., whether the SSSG-switching timer needs to be reset, terminated, or started (including when it needs to be started).</w:t>
      </w:r>
    </w:p>
    <w:p w14:paraId="534CC23B" w14:textId="77777777" w:rsidR="003B2709" w:rsidRDefault="003B2709" w:rsidP="00E4098D">
      <w:pPr>
        <w:jc w:val="both"/>
        <w:rPr>
          <w:lang w:val="en-GB" w:eastAsia="ja-JP"/>
        </w:rPr>
      </w:pPr>
    </w:p>
    <w:p w14:paraId="06EE64C0" w14:textId="16166694" w:rsidR="00DF1020" w:rsidRDefault="005F6B55" w:rsidP="00E4098D">
      <w:pPr>
        <w:jc w:val="both"/>
        <w:rPr>
          <w:lang w:val="en-GB" w:eastAsia="ja-JP"/>
        </w:rPr>
      </w:pPr>
      <w:r>
        <w:rPr>
          <w:b/>
          <w:bCs/>
          <w:i/>
          <w:iCs/>
          <w:u w:val="single"/>
          <w:lang w:val="en-GB" w:eastAsia="ja-JP"/>
        </w:rPr>
        <w:t>Non-</w:t>
      </w:r>
      <w:r w:rsidR="00DF1020">
        <w:rPr>
          <w:b/>
          <w:bCs/>
          <w:i/>
          <w:iCs/>
          <w:u w:val="single"/>
          <w:lang w:val="en-GB" w:eastAsia="ja-JP"/>
        </w:rPr>
        <w:t>Simultaneous BWP-switching and PDCCH monitoring adaptation</w:t>
      </w:r>
      <w:r w:rsidR="00DF1020" w:rsidRPr="00B25864">
        <w:rPr>
          <w:lang w:val="en-GB" w:eastAsia="ja-JP"/>
        </w:rPr>
        <w:t xml:space="preserve"> </w:t>
      </w:r>
    </w:p>
    <w:p w14:paraId="7390AAB6" w14:textId="6938F334" w:rsidR="00B25864" w:rsidRDefault="00B25864" w:rsidP="00E4098D">
      <w:pPr>
        <w:jc w:val="both"/>
        <w:rPr>
          <w:lang w:val="en-GB" w:eastAsia="ja-JP"/>
        </w:rPr>
      </w:pPr>
      <w:r w:rsidRPr="00B25864">
        <w:rPr>
          <w:lang w:val="en-GB" w:eastAsia="ja-JP"/>
        </w:rPr>
        <w:lastRenderedPageBreak/>
        <w:t>Non-simultaneous BWP-switching and PDCCH monitoring adaptation can happen when the BWP-switching is initiated by the BWP-inactivity timer and/or when the source or target BWP is not configured with PDCCH monitoring adaptation.</w:t>
      </w:r>
    </w:p>
    <w:p w14:paraId="48D6F339" w14:textId="45C247FC" w:rsidR="00DB0563" w:rsidRDefault="00DB0563" w:rsidP="00E4098D">
      <w:pPr>
        <w:jc w:val="both"/>
        <w:rPr>
          <w:lang w:val="en-GB" w:eastAsia="ja-JP"/>
        </w:rPr>
      </w:pPr>
      <w:r w:rsidRPr="00DB0563">
        <w:rPr>
          <w:lang w:val="en-GB" w:eastAsia="ja-JP"/>
        </w:rPr>
        <w:t>For the case of BWP-switching is triggered by the BWP inactivity timer, the behavior can be more straightforward. I.e., the newly active BWP can start with its default behavior, e.g., start with SSSG0 (if configured) and no skipping state. The other possible option is to follow the latest state of the source BWP. However, this may bring an inconsistency as the PDCCH monitoring adaptation configuration of the source and the target BWP configurations can be different. As in this case the NW does not have a direct DCI indication, following the default behavior of the target BWP is a more intuitive solution. Similarly, when the target BWP is configured with PDCCH monitoring adaptation and the source BWP is not configured with PDCCH monitoring adaptation bitfield, the default behavior of the target BWP can be used when the UE starts using the target BWP. For the case of the source BWP is configured with PDCCH monitoring adaptation and the target BWP is not configured with PDCCH monitoring adaptation, the PDCCH monitoring adaptation bitfield can be simply ignored.</w:t>
      </w:r>
    </w:p>
    <w:p w14:paraId="2C59F44B" w14:textId="099B5B60" w:rsidR="00921A1B" w:rsidRDefault="000B2C17" w:rsidP="00921A1B">
      <w:pPr>
        <w:pStyle w:val="Proposal"/>
        <w:numPr>
          <w:ilvl w:val="0"/>
          <w:numId w:val="2"/>
        </w:numPr>
        <w:tabs>
          <w:tab w:val="clear" w:pos="1304"/>
        </w:tabs>
        <w:ind w:left="1701" w:hanging="1701"/>
        <w:rPr>
          <w:rFonts w:asciiTheme="minorHAnsi" w:hAnsiTheme="minorHAnsi" w:cstheme="minorHAnsi"/>
        </w:rPr>
      </w:pPr>
      <w:bookmarkStart w:id="26" w:name="_Toc95739259"/>
      <w:r>
        <w:rPr>
          <w:rFonts w:asciiTheme="minorHAnsi" w:hAnsiTheme="minorHAnsi" w:cstheme="minorHAnsi"/>
        </w:rPr>
        <w:t>When the BWP inactivity timer expires, the UE starts the target BWP with the default state (e.g., SSSG0)</w:t>
      </w:r>
      <w:r w:rsidR="00AE6CAB">
        <w:rPr>
          <w:rFonts w:asciiTheme="minorHAnsi" w:hAnsiTheme="minorHAnsi" w:cstheme="minorHAnsi"/>
        </w:rPr>
        <w:t>.</w:t>
      </w:r>
      <w:bookmarkEnd w:id="26"/>
    </w:p>
    <w:p w14:paraId="280D2846" w14:textId="5CCF1704" w:rsidR="00AE6CAB" w:rsidRDefault="00AE6CAB" w:rsidP="00921A1B">
      <w:pPr>
        <w:pStyle w:val="Proposal"/>
        <w:numPr>
          <w:ilvl w:val="0"/>
          <w:numId w:val="2"/>
        </w:numPr>
        <w:tabs>
          <w:tab w:val="clear" w:pos="1304"/>
        </w:tabs>
        <w:ind w:left="1701" w:hanging="1701"/>
        <w:rPr>
          <w:rFonts w:asciiTheme="minorHAnsi" w:hAnsiTheme="minorHAnsi" w:cstheme="minorHAnsi"/>
        </w:rPr>
      </w:pPr>
      <w:bookmarkStart w:id="27" w:name="_Toc95739260"/>
      <w:r>
        <w:rPr>
          <w:rFonts w:asciiTheme="minorHAnsi" w:hAnsiTheme="minorHAnsi" w:cstheme="minorHAnsi"/>
        </w:rPr>
        <w:t>When the source BWP is not configured with PDCCH monitoring adaptation and the target BWP is configured with PDCCH monitoring adaptation, the target BWP starts with the default state (e.g., SSSG0).</w:t>
      </w:r>
      <w:bookmarkEnd w:id="27"/>
    </w:p>
    <w:p w14:paraId="0FB2E2E7" w14:textId="52019039" w:rsidR="00AE6CAB" w:rsidRPr="00780E63" w:rsidRDefault="00AE6CAB" w:rsidP="00921A1B">
      <w:pPr>
        <w:pStyle w:val="Proposal"/>
        <w:numPr>
          <w:ilvl w:val="0"/>
          <w:numId w:val="2"/>
        </w:numPr>
        <w:tabs>
          <w:tab w:val="clear" w:pos="1304"/>
        </w:tabs>
        <w:ind w:left="1701" w:hanging="1701"/>
        <w:rPr>
          <w:rFonts w:asciiTheme="minorHAnsi" w:hAnsiTheme="minorHAnsi" w:cstheme="minorHAnsi"/>
        </w:rPr>
      </w:pPr>
      <w:bookmarkStart w:id="28" w:name="_Toc95739261"/>
      <w:r>
        <w:rPr>
          <w:rFonts w:asciiTheme="minorHAnsi" w:hAnsiTheme="minorHAnsi" w:cstheme="minorHAnsi"/>
        </w:rPr>
        <w:t>When the source BWP is configured with PDCCH monitoring adaptation and the target BWP is not configured with PDCCH monitoring adaptation, the PDCCH monitoring adaptation bitfield when BWP-switching indicated, is ignored.</w:t>
      </w:r>
      <w:bookmarkEnd w:id="28"/>
    </w:p>
    <w:p w14:paraId="180E4CEF" w14:textId="3C5B0142" w:rsidR="003B2709" w:rsidRDefault="003B2709" w:rsidP="00E4098D">
      <w:pPr>
        <w:jc w:val="both"/>
        <w:rPr>
          <w:lang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1E7D31" w:rsidRDefault="000916B4" w:rsidP="000916B4">
      <w:pPr>
        <w:pStyle w:val="BodyText"/>
        <w:rPr>
          <w:rFonts w:asciiTheme="minorHAnsi" w:hAnsiTheme="minorHAnsi" w:cstheme="minorHAnsi"/>
        </w:rPr>
      </w:pPr>
      <w:r w:rsidRPr="001E7D31">
        <w:rPr>
          <w:rFonts w:asciiTheme="minorHAnsi" w:hAnsiTheme="minorHAnsi" w:cstheme="minorHAnsi"/>
        </w:rPr>
        <w:t xml:space="preserve">In section 2, the following observations and proposals were made: </w:t>
      </w:r>
    </w:p>
    <w:p w14:paraId="67E47BF6" w14:textId="77777777" w:rsidR="00267A9A"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95739247" w:history="1">
        <w:r w:rsidR="00267A9A" w:rsidRPr="00B34295">
          <w:rPr>
            <w:rStyle w:val="Hyperlink"/>
            <w:rFonts w:cstheme="minorHAnsi"/>
            <w:noProof/>
          </w:rPr>
          <w:t>Proposal 1</w:t>
        </w:r>
        <w:r w:rsidR="00267A9A">
          <w:rPr>
            <w:rFonts w:asciiTheme="minorHAnsi" w:eastAsiaTheme="minorEastAsia" w:hAnsiTheme="minorHAnsi"/>
            <w:b w:val="0"/>
            <w:noProof/>
          </w:rPr>
          <w:tab/>
        </w:r>
        <w:r w:rsidR="00267A9A" w:rsidRPr="00B34295">
          <w:rPr>
            <w:rStyle w:val="Hyperlink"/>
            <w:rFonts w:cstheme="minorHAnsi"/>
            <w:noProof/>
          </w:rPr>
          <w:t xml:space="preserve">If </w:t>
        </w:r>
        <w:r w:rsidR="00267A9A" w:rsidRPr="00B34295">
          <w:rPr>
            <w:rStyle w:val="Hyperlink"/>
            <w:rFonts w:cstheme="minorHAnsi"/>
            <w:i/>
            <w:iCs/>
            <w:noProof/>
          </w:rPr>
          <w:t>PDCCHSkippingDurationList</w:t>
        </w:r>
        <w:r w:rsidR="00267A9A" w:rsidRPr="00B34295">
          <w:rPr>
            <w:rStyle w:val="Hyperlink"/>
            <w:rFonts w:cstheme="minorHAnsi"/>
            <w:noProof/>
          </w:rPr>
          <w:t xml:space="preserve"> is not configured, the width of the PDCCH monitoring adaptation bitfield is:</w:t>
        </w:r>
      </w:hyperlink>
    </w:p>
    <w:p w14:paraId="4374866D" w14:textId="77777777" w:rsidR="00267A9A" w:rsidRDefault="00267A9A">
      <w:pPr>
        <w:pStyle w:val="TableofFigures"/>
        <w:tabs>
          <w:tab w:val="right" w:leader="dot" w:pos="9629"/>
        </w:tabs>
        <w:rPr>
          <w:rFonts w:asciiTheme="minorHAnsi" w:eastAsiaTheme="minorEastAsia" w:hAnsiTheme="minorHAnsi"/>
          <w:b w:val="0"/>
          <w:noProof/>
        </w:rPr>
      </w:pPr>
      <w:hyperlink w:anchor="_Toc95739248" w:history="1">
        <w:r w:rsidRPr="00B34295">
          <w:rPr>
            <w:rStyle w:val="Hyperlink"/>
            <w:rFonts w:ascii="Abadi" w:hAnsi="Abadi" w:cstheme="minorHAnsi"/>
            <w:noProof/>
          </w:rPr>
          <w:t>-</w:t>
        </w:r>
        <w:r>
          <w:rPr>
            <w:rFonts w:asciiTheme="minorHAnsi" w:eastAsiaTheme="minorEastAsia" w:hAnsiTheme="minorHAnsi"/>
            <w:b w:val="0"/>
            <w:noProof/>
          </w:rPr>
          <w:tab/>
        </w:r>
        <w:r w:rsidRPr="00B34295">
          <w:rPr>
            <w:rStyle w:val="Hyperlink"/>
            <w:rFonts w:cstheme="minorHAnsi"/>
            <w:noProof/>
          </w:rPr>
          <w:t>1 bit if the UE is configured by searchSpaceGroupIdList-r17 with search space set(s) with group index 0 and search space set(s) with group index 1, and if the UE is not configured by searchSpaceGroupIdList-r17 with any search space set with group index 2;</w:t>
        </w:r>
      </w:hyperlink>
    </w:p>
    <w:p w14:paraId="6855D950" w14:textId="77777777" w:rsidR="00267A9A" w:rsidRDefault="00267A9A">
      <w:pPr>
        <w:pStyle w:val="TableofFigures"/>
        <w:tabs>
          <w:tab w:val="right" w:leader="dot" w:pos="9629"/>
        </w:tabs>
        <w:rPr>
          <w:rFonts w:asciiTheme="minorHAnsi" w:eastAsiaTheme="minorEastAsia" w:hAnsiTheme="minorHAnsi"/>
          <w:b w:val="0"/>
          <w:noProof/>
        </w:rPr>
      </w:pPr>
      <w:hyperlink w:anchor="_Toc95739249" w:history="1">
        <w:r w:rsidRPr="00B34295">
          <w:rPr>
            <w:rStyle w:val="Hyperlink"/>
            <w:rFonts w:ascii="Abadi" w:hAnsi="Abadi" w:cstheme="minorHAnsi"/>
            <w:noProof/>
          </w:rPr>
          <w:t>-</w:t>
        </w:r>
        <w:r>
          <w:rPr>
            <w:rFonts w:asciiTheme="minorHAnsi" w:eastAsiaTheme="minorEastAsia" w:hAnsiTheme="minorHAnsi"/>
            <w:b w:val="0"/>
            <w:noProof/>
          </w:rPr>
          <w:tab/>
        </w:r>
        <w:r w:rsidRPr="00B34295">
          <w:rPr>
            <w:rStyle w:val="Hyperlink"/>
            <w:rFonts w:cstheme="minorHAnsi"/>
            <w:noProof/>
          </w:rPr>
          <w:t>2 bits if the UE is configured by searchSpaceGroupIdList-r17 with search space set(s) with group index 0, search space set(s) with group index 1 and search space set(s) with group index 2.</w:t>
        </w:r>
      </w:hyperlink>
    </w:p>
    <w:p w14:paraId="407ECA79" w14:textId="77777777" w:rsidR="00267A9A" w:rsidRDefault="00267A9A">
      <w:pPr>
        <w:pStyle w:val="TableofFigures"/>
        <w:tabs>
          <w:tab w:val="right" w:leader="dot" w:pos="9629"/>
        </w:tabs>
        <w:rPr>
          <w:rFonts w:asciiTheme="minorHAnsi" w:eastAsiaTheme="minorEastAsia" w:hAnsiTheme="minorHAnsi"/>
          <w:b w:val="0"/>
          <w:noProof/>
        </w:rPr>
      </w:pPr>
      <w:hyperlink w:anchor="_Toc95739250" w:history="1">
        <w:r w:rsidRPr="00B34295">
          <w:rPr>
            <w:rStyle w:val="Hyperlink"/>
            <w:rFonts w:cstheme="minorHAnsi"/>
            <w:noProof/>
          </w:rPr>
          <w:t>Proposal 2</w:t>
        </w:r>
        <w:r>
          <w:rPr>
            <w:rFonts w:asciiTheme="minorHAnsi" w:eastAsiaTheme="minorEastAsia" w:hAnsiTheme="minorHAnsi"/>
            <w:b w:val="0"/>
            <w:noProof/>
          </w:rPr>
          <w:tab/>
        </w:r>
        <w:r w:rsidRPr="00B34295">
          <w:rPr>
            <w:rStyle w:val="Hyperlink"/>
            <w:rFonts w:cstheme="minorHAnsi"/>
            <w:noProof/>
          </w:rPr>
          <w:t>For Beh 1, a '0' or ‘00’ value for the bit implies that the corresponding DCI is not used for PDCCH skipping indication.</w:t>
        </w:r>
      </w:hyperlink>
    </w:p>
    <w:p w14:paraId="5B2A59D3" w14:textId="77777777" w:rsidR="00267A9A" w:rsidRDefault="00267A9A">
      <w:pPr>
        <w:pStyle w:val="TableofFigures"/>
        <w:tabs>
          <w:tab w:val="right" w:leader="dot" w:pos="9629"/>
        </w:tabs>
        <w:rPr>
          <w:rFonts w:asciiTheme="minorHAnsi" w:eastAsiaTheme="minorEastAsia" w:hAnsiTheme="minorHAnsi"/>
          <w:b w:val="0"/>
          <w:noProof/>
        </w:rPr>
      </w:pPr>
      <w:hyperlink w:anchor="_Toc95739251" w:history="1">
        <w:r w:rsidRPr="00B34295">
          <w:rPr>
            <w:rStyle w:val="Hyperlink"/>
            <w:rFonts w:cstheme="minorHAnsi"/>
            <w:noProof/>
          </w:rPr>
          <w:t>Proposal 3</w:t>
        </w:r>
        <w:r>
          <w:rPr>
            <w:rFonts w:asciiTheme="minorHAnsi" w:eastAsiaTheme="minorEastAsia" w:hAnsiTheme="minorHAnsi"/>
            <w:b w:val="0"/>
            <w:noProof/>
          </w:rPr>
          <w:tab/>
        </w:r>
        <w:r w:rsidRPr="00B34295">
          <w:rPr>
            <w:rStyle w:val="Hyperlink"/>
            <w:rFonts w:cstheme="minorHAnsi"/>
            <w:noProof/>
          </w:rPr>
          <w:t>The SSSG timer is reset when UE receives a PDCCH with CRC scrambled by C-RNTI/CS-RNTI/MCS-C-RNTI.</w:t>
        </w:r>
      </w:hyperlink>
    </w:p>
    <w:p w14:paraId="02C4D3A4" w14:textId="77777777" w:rsidR="00267A9A" w:rsidRDefault="00267A9A">
      <w:pPr>
        <w:pStyle w:val="TableofFigures"/>
        <w:tabs>
          <w:tab w:val="right" w:leader="dot" w:pos="9629"/>
        </w:tabs>
        <w:rPr>
          <w:rFonts w:asciiTheme="minorHAnsi" w:eastAsiaTheme="minorEastAsia" w:hAnsiTheme="minorHAnsi"/>
          <w:b w:val="0"/>
          <w:noProof/>
        </w:rPr>
      </w:pPr>
      <w:hyperlink w:anchor="_Toc95739252" w:history="1">
        <w:r w:rsidRPr="00B34295">
          <w:rPr>
            <w:rStyle w:val="Hyperlink"/>
            <w:rFonts w:cstheme="minorHAnsi"/>
            <w:noProof/>
          </w:rPr>
          <w:t>Proposal 4</w:t>
        </w:r>
        <w:r>
          <w:rPr>
            <w:rFonts w:asciiTheme="minorHAnsi" w:eastAsiaTheme="minorEastAsia" w:hAnsiTheme="minorHAnsi"/>
            <w:b w:val="0"/>
            <w:noProof/>
          </w:rPr>
          <w:tab/>
        </w:r>
        <w:r w:rsidRPr="00B34295">
          <w:rPr>
            <w:rStyle w:val="Hyperlink"/>
            <w:rFonts w:cstheme="minorHAnsi"/>
            <w:noProof/>
          </w:rPr>
          <w:t>If the SSSG-switching timer expires and the UE is still in the skipping duration, the UE finishes the skipping duration and monitors PDCCH according to SSSG0 when skipping duration ends.</w:t>
        </w:r>
      </w:hyperlink>
    </w:p>
    <w:p w14:paraId="53F7E1D7" w14:textId="77777777" w:rsidR="00267A9A" w:rsidRDefault="00267A9A">
      <w:pPr>
        <w:pStyle w:val="TableofFigures"/>
        <w:tabs>
          <w:tab w:val="right" w:leader="dot" w:pos="9629"/>
        </w:tabs>
        <w:rPr>
          <w:rFonts w:asciiTheme="minorHAnsi" w:eastAsiaTheme="minorEastAsia" w:hAnsiTheme="minorHAnsi"/>
          <w:b w:val="0"/>
          <w:noProof/>
        </w:rPr>
      </w:pPr>
      <w:hyperlink w:anchor="_Toc95739253" w:history="1">
        <w:r w:rsidRPr="00B34295">
          <w:rPr>
            <w:rStyle w:val="Hyperlink"/>
            <w:rFonts w:cstheme="minorHAnsi"/>
            <w:noProof/>
          </w:rPr>
          <w:t>Proposal 5</w:t>
        </w:r>
        <w:r>
          <w:rPr>
            <w:rFonts w:asciiTheme="minorHAnsi" w:eastAsiaTheme="minorEastAsia" w:hAnsiTheme="minorHAnsi"/>
            <w:b w:val="0"/>
            <w:noProof/>
          </w:rPr>
          <w:tab/>
        </w:r>
        <w:r w:rsidRPr="00B34295">
          <w:rPr>
            <w:rStyle w:val="Hyperlink"/>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79FD5D7" w14:textId="77777777" w:rsidR="00267A9A" w:rsidRDefault="00267A9A">
      <w:pPr>
        <w:pStyle w:val="TableofFigures"/>
        <w:tabs>
          <w:tab w:val="right" w:leader="dot" w:pos="9629"/>
        </w:tabs>
        <w:rPr>
          <w:rFonts w:asciiTheme="minorHAnsi" w:eastAsiaTheme="minorEastAsia" w:hAnsiTheme="minorHAnsi"/>
          <w:b w:val="0"/>
          <w:noProof/>
        </w:rPr>
      </w:pPr>
      <w:hyperlink w:anchor="_Toc95739254" w:history="1">
        <w:r w:rsidRPr="00B34295">
          <w:rPr>
            <w:rStyle w:val="Hyperlink"/>
            <w:rFonts w:cstheme="minorHAnsi"/>
            <w:noProof/>
          </w:rPr>
          <w:t>Proposal 6</w:t>
        </w:r>
        <w:r>
          <w:rPr>
            <w:rFonts w:asciiTheme="minorHAnsi" w:eastAsiaTheme="minorEastAsia" w:hAnsiTheme="minorHAnsi"/>
            <w:b w:val="0"/>
            <w:noProof/>
          </w:rPr>
          <w:tab/>
        </w:r>
        <w:r w:rsidRPr="00B34295">
          <w:rPr>
            <w:rStyle w:val="Hyperlink"/>
            <w:rFonts w:cstheme="minorHAnsi"/>
            <w:noProof/>
          </w:rPr>
          <w:t>For UE configured with DRX, higher layer signaling can configure SSSG that a UE monitors when coming out of DRX to monitor an ON duration.</w:t>
        </w:r>
      </w:hyperlink>
    </w:p>
    <w:p w14:paraId="79DB76B0" w14:textId="77777777" w:rsidR="00267A9A" w:rsidRDefault="00267A9A">
      <w:pPr>
        <w:pStyle w:val="TableofFigures"/>
        <w:tabs>
          <w:tab w:val="right" w:leader="dot" w:pos="9629"/>
        </w:tabs>
        <w:rPr>
          <w:rFonts w:asciiTheme="minorHAnsi" w:eastAsiaTheme="minorEastAsia" w:hAnsiTheme="minorHAnsi"/>
          <w:b w:val="0"/>
          <w:noProof/>
        </w:rPr>
      </w:pPr>
      <w:hyperlink w:anchor="_Toc95739255" w:history="1">
        <w:r w:rsidRPr="00B34295">
          <w:rPr>
            <w:rStyle w:val="Hyperlink"/>
            <w:rFonts w:cstheme="minorHAnsi"/>
            <w:noProof/>
          </w:rPr>
          <w:t>Proposal 7</w:t>
        </w:r>
        <w:r>
          <w:rPr>
            <w:rFonts w:asciiTheme="minorHAnsi" w:eastAsiaTheme="minorEastAsia" w:hAnsiTheme="minorHAnsi"/>
            <w:b w:val="0"/>
            <w:noProof/>
          </w:rPr>
          <w:tab/>
        </w:r>
        <w:r w:rsidRPr="00B34295">
          <w:rPr>
            <w:rStyle w:val="Hyperlink"/>
            <w:rFonts w:cstheme="minorHAnsi"/>
            <w:noProof/>
          </w:rPr>
          <w:t xml:space="preserve">The minimum application delay from SSSG-switching feature (as described in 38.213-h00, </w:t>
        </w:r>
        <w:r w:rsidRPr="00B34295">
          <w:rPr>
            <w:rStyle w:val="Hyperlink"/>
            <w:noProof/>
          </w:rPr>
          <w:t xml:space="preserve">10.4-1) </w:t>
        </w:r>
        <w:r w:rsidRPr="00B34295">
          <w:rPr>
            <w:rStyle w:val="Hyperlink"/>
            <w:rFonts w:cstheme="minorHAnsi"/>
            <w:noProof/>
          </w:rPr>
          <w:t>is reused for Rel-17.</w:t>
        </w:r>
      </w:hyperlink>
    </w:p>
    <w:p w14:paraId="7365391E" w14:textId="77777777" w:rsidR="00267A9A" w:rsidRDefault="00267A9A">
      <w:pPr>
        <w:pStyle w:val="TableofFigures"/>
        <w:tabs>
          <w:tab w:val="right" w:leader="dot" w:pos="9629"/>
        </w:tabs>
        <w:rPr>
          <w:rFonts w:asciiTheme="minorHAnsi" w:eastAsiaTheme="minorEastAsia" w:hAnsiTheme="minorHAnsi"/>
          <w:b w:val="0"/>
          <w:noProof/>
        </w:rPr>
      </w:pPr>
      <w:hyperlink w:anchor="_Toc95739256" w:history="1">
        <w:r w:rsidRPr="00B34295">
          <w:rPr>
            <w:rStyle w:val="Hyperlink"/>
            <w:rFonts w:cstheme="minorHAnsi"/>
            <w:noProof/>
          </w:rPr>
          <w:t>Proposal 8</w:t>
        </w:r>
        <w:r>
          <w:rPr>
            <w:rFonts w:asciiTheme="minorHAnsi" w:eastAsiaTheme="minorEastAsia" w:hAnsiTheme="minorHAnsi"/>
            <w:b w:val="0"/>
            <w:noProof/>
          </w:rPr>
          <w:tab/>
        </w:r>
        <w:r w:rsidRPr="00B34295">
          <w:rPr>
            <w:rStyle w:val="Hyperlink"/>
            <w:rFonts w:cstheme="minorHAnsi"/>
            <w:noProof/>
          </w:rPr>
          <w:t>For SSSG-switching via DL scheduling DCI, UE applies switching command (i.e., to the indicated SSSG) after transmitting HARQ-ACK feedback.</w:t>
        </w:r>
      </w:hyperlink>
    </w:p>
    <w:p w14:paraId="0D4D256B" w14:textId="77777777" w:rsidR="00267A9A" w:rsidRDefault="00267A9A">
      <w:pPr>
        <w:pStyle w:val="TableofFigures"/>
        <w:tabs>
          <w:tab w:val="right" w:leader="dot" w:pos="9629"/>
        </w:tabs>
        <w:rPr>
          <w:rFonts w:asciiTheme="minorHAnsi" w:eastAsiaTheme="minorEastAsia" w:hAnsiTheme="minorHAnsi"/>
          <w:b w:val="0"/>
          <w:noProof/>
        </w:rPr>
      </w:pPr>
      <w:hyperlink w:anchor="_Toc95739257" w:history="1">
        <w:r w:rsidRPr="00B34295">
          <w:rPr>
            <w:rStyle w:val="Hyperlink"/>
            <w:rFonts w:cstheme="minorHAnsi"/>
            <w:noProof/>
          </w:rPr>
          <w:t>Proposal 9</w:t>
        </w:r>
        <w:r>
          <w:rPr>
            <w:rFonts w:asciiTheme="minorHAnsi" w:eastAsiaTheme="minorEastAsia" w:hAnsiTheme="minorHAnsi"/>
            <w:b w:val="0"/>
            <w:noProof/>
          </w:rPr>
          <w:tab/>
        </w:r>
        <w:r w:rsidRPr="00B34295">
          <w:rPr>
            <w:rStyle w:val="Hyperlink"/>
            <w:rFonts w:cstheme="minorHAnsi"/>
            <w:noProof/>
          </w:rPr>
          <w:t>For PDCCH-skipping via scheduling DCI, UE applies the skipping at the first slot after the last OFDM symbol containing the skipping indication.</w:t>
        </w:r>
      </w:hyperlink>
    </w:p>
    <w:p w14:paraId="63A1348A" w14:textId="77777777" w:rsidR="00267A9A" w:rsidRDefault="00267A9A">
      <w:pPr>
        <w:pStyle w:val="TableofFigures"/>
        <w:tabs>
          <w:tab w:val="right" w:leader="dot" w:pos="9629"/>
        </w:tabs>
        <w:rPr>
          <w:rFonts w:asciiTheme="minorHAnsi" w:eastAsiaTheme="minorEastAsia" w:hAnsiTheme="minorHAnsi"/>
          <w:b w:val="0"/>
          <w:noProof/>
        </w:rPr>
      </w:pPr>
      <w:hyperlink w:anchor="_Toc95739258" w:history="1">
        <w:r w:rsidRPr="00B34295">
          <w:rPr>
            <w:rStyle w:val="Hyperlink"/>
            <w:rFonts w:cstheme="minorHAnsi"/>
            <w:noProof/>
          </w:rPr>
          <w:t>Proposal 10</w:t>
        </w:r>
        <w:r>
          <w:rPr>
            <w:rFonts w:asciiTheme="minorHAnsi" w:eastAsiaTheme="minorEastAsia" w:hAnsiTheme="minorHAnsi"/>
            <w:b w:val="0"/>
            <w:noProof/>
          </w:rPr>
          <w:tab/>
        </w:r>
        <w:r w:rsidRPr="00B34295">
          <w:rPr>
            <w:rStyle w:val="Hyperlink"/>
            <w:rFonts w:cstheme="minorHAnsi"/>
            <w:noProof/>
          </w:rPr>
          <w:t>If the UE fails to decode the PDSCH (and transmits a NACK), skipping is canceled in the slots after the NACK transmission (if any).</w:t>
        </w:r>
      </w:hyperlink>
    </w:p>
    <w:p w14:paraId="3A697497" w14:textId="77777777" w:rsidR="00267A9A" w:rsidRDefault="00267A9A">
      <w:pPr>
        <w:pStyle w:val="TableofFigures"/>
        <w:tabs>
          <w:tab w:val="right" w:leader="dot" w:pos="9629"/>
        </w:tabs>
        <w:rPr>
          <w:rFonts w:asciiTheme="minorHAnsi" w:eastAsiaTheme="minorEastAsia" w:hAnsiTheme="minorHAnsi"/>
          <w:b w:val="0"/>
          <w:noProof/>
        </w:rPr>
      </w:pPr>
      <w:hyperlink w:anchor="_Toc95739259" w:history="1">
        <w:r w:rsidRPr="00B34295">
          <w:rPr>
            <w:rStyle w:val="Hyperlink"/>
            <w:rFonts w:cstheme="minorHAnsi"/>
            <w:noProof/>
          </w:rPr>
          <w:t>Proposal 11</w:t>
        </w:r>
        <w:r>
          <w:rPr>
            <w:rFonts w:asciiTheme="minorHAnsi" w:eastAsiaTheme="minorEastAsia" w:hAnsiTheme="minorHAnsi"/>
            <w:b w:val="0"/>
            <w:noProof/>
          </w:rPr>
          <w:tab/>
        </w:r>
        <w:r w:rsidRPr="00B34295">
          <w:rPr>
            <w:rStyle w:val="Hyperlink"/>
            <w:rFonts w:cstheme="minorHAnsi"/>
            <w:noProof/>
          </w:rPr>
          <w:t>When the BWP inactivity timer expires, the UE starts the target BWP with the default state (e.g., SSSG0).</w:t>
        </w:r>
      </w:hyperlink>
    </w:p>
    <w:p w14:paraId="7AAA9241" w14:textId="77777777" w:rsidR="00267A9A" w:rsidRDefault="00267A9A">
      <w:pPr>
        <w:pStyle w:val="TableofFigures"/>
        <w:tabs>
          <w:tab w:val="right" w:leader="dot" w:pos="9629"/>
        </w:tabs>
        <w:rPr>
          <w:rFonts w:asciiTheme="minorHAnsi" w:eastAsiaTheme="minorEastAsia" w:hAnsiTheme="minorHAnsi"/>
          <w:b w:val="0"/>
          <w:noProof/>
        </w:rPr>
      </w:pPr>
      <w:hyperlink w:anchor="_Toc95739260" w:history="1">
        <w:r w:rsidRPr="00B34295">
          <w:rPr>
            <w:rStyle w:val="Hyperlink"/>
            <w:rFonts w:cstheme="minorHAnsi"/>
            <w:noProof/>
          </w:rPr>
          <w:t>Proposal 12</w:t>
        </w:r>
        <w:r>
          <w:rPr>
            <w:rFonts w:asciiTheme="minorHAnsi" w:eastAsiaTheme="minorEastAsia" w:hAnsiTheme="minorHAnsi"/>
            <w:b w:val="0"/>
            <w:noProof/>
          </w:rPr>
          <w:tab/>
        </w:r>
        <w:r w:rsidRPr="00B34295">
          <w:rPr>
            <w:rStyle w:val="Hyperlink"/>
            <w:rFonts w:cstheme="minorHAnsi"/>
            <w:noProof/>
          </w:rPr>
          <w:t>When the source BWP is not configured with PDCCH monitoring adaptation and the target BWP is configured with PDCCH monitoring adaptation, the target BWP starts with the default state (e.g., SSSG0).</w:t>
        </w:r>
      </w:hyperlink>
    </w:p>
    <w:p w14:paraId="7CB9B9CD" w14:textId="77777777" w:rsidR="00267A9A" w:rsidRDefault="00267A9A">
      <w:pPr>
        <w:pStyle w:val="TableofFigures"/>
        <w:tabs>
          <w:tab w:val="right" w:leader="dot" w:pos="9629"/>
        </w:tabs>
        <w:rPr>
          <w:rFonts w:asciiTheme="minorHAnsi" w:eastAsiaTheme="minorEastAsia" w:hAnsiTheme="minorHAnsi"/>
          <w:b w:val="0"/>
          <w:noProof/>
        </w:rPr>
      </w:pPr>
      <w:hyperlink w:anchor="_Toc95739261" w:history="1">
        <w:r w:rsidRPr="00B34295">
          <w:rPr>
            <w:rStyle w:val="Hyperlink"/>
            <w:rFonts w:cstheme="minorHAnsi"/>
            <w:noProof/>
          </w:rPr>
          <w:t>Proposal 13</w:t>
        </w:r>
        <w:r>
          <w:rPr>
            <w:rFonts w:asciiTheme="minorHAnsi" w:eastAsiaTheme="minorEastAsia" w:hAnsiTheme="minorHAnsi"/>
            <w:b w:val="0"/>
            <w:noProof/>
          </w:rPr>
          <w:tab/>
        </w:r>
        <w:r w:rsidRPr="00B34295">
          <w:rPr>
            <w:rStyle w:val="Hyperlink"/>
            <w:rFonts w:cstheme="minorHAnsi"/>
            <w:noProof/>
          </w:rPr>
          <w:t>When the source BWP is configured with PDCCH monitoring adaptation and the target BWP is not configured with PDCCH monitoring adaptation, the PDCCH monitoring adaptation bitfield when BWP-switching indicated, is ignored.</w:t>
        </w:r>
      </w:hyperlink>
    </w:p>
    <w:p w14:paraId="62D802FB" w14:textId="7C19E6C7"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29" w:name="_In-sequence_SDU_delivery"/>
      <w:bookmarkEnd w:id="29"/>
      <w:r w:rsidRPr="005F577B">
        <w:rPr>
          <w:lang w:val="en-US"/>
        </w:rPr>
        <w:t>References</w:t>
      </w:r>
    </w:p>
    <w:p w14:paraId="12170BB1" w14:textId="500974BB" w:rsidR="000916B4" w:rsidRPr="005B1245" w:rsidRDefault="003E6A86" w:rsidP="000916B4">
      <w:pPr>
        <w:pStyle w:val="references"/>
        <w:spacing w:line="240" w:lineRule="auto"/>
      </w:pPr>
      <w:r>
        <w:rPr>
          <w:rFonts w:asciiTheme="minorHAnsi" w:hAnsiTheme="minorHAnsi" w:cstheme="minorHAnsi"/>
          <w:sz w:val="20"/>
          <w:szCs w:val="22"/>
        </w:rPr>
        <w:t>RAN1#107</w:t>
      </w:r>
      <w:r w:rsidR="00251D4D">
        <w:rPr>
          <w:rFonts w:asciiTheme="minorHAnsi" w:hAnsiTheme="minorHAnsi" w:cstheme="minorHAnsi"/>
          <w:sz w:val="20"/>
          <w:szCs w:val="22"/>
        </w:rPr>
        <w:t>bis-e</w:t>
      </w:r>
      <w:r>
        <w:rPr>
          <w:rFonts w:asciiTheme="minorHAnsi" w:hAnsiTheme="minorHAnsi" w:cstheme="minorHAnsi"/>
          <w:sz w:val="20"/>
          <w:szCs w:val="22"/>
        </w:rPr>
        <w:t xml:space="preserve"> chair notes </w:t>
      </w:r>
    </w:p>
    <w:p w14:paraId="15CFFBFC" w14:textId="4E8611DD" w:rsidR="00221F30" w:rsidRPr="00381CEC" w:rsidRDefault="00221F30" w:rsidP="009B7CB5">
      <w:pPr>
        <w:pStyle w:val="references"/>
        <w:spacing w:line="240" w:lineRule="auto"/>
      </w:pPr>
      <w:r w:rsidRPr="007C6403">
        <w:rPr>
          <w:rFonts w:asciiTheme="minorHAnsi" w:hAnsiTheme="minorHAnsi" w:cstheme="minorHAnsi"/>
          <w:sz w:val="20"/>
          <w:szCs w:val="22"/>
        </w:rPr>
        <w:t>R1-2200884</w:t>
      </w:r>
      <w:r>
        <w:rPr>
          <w:rFonts w:asciiTheme="minorHAnsi" w:hAnsiTheme="minorHAnsi" w:cstheme="minorHAnsi"/>
          <w:sz w:val="20"/>
          <w:szCs w:val="22"/>
        </w:rPr>
        <w:t xml:space="preserve">, </w:t>
      </w:r>
      <w:r w:rsidRPr="007C6403">
        <w:rPr>
          <w:rFonts w:asciiTheme="minorHAnsi" w:hAnsiTheme="minorHAnsi" w:cstheme="minorHAnsi"/>
          <w:sz w:val="20"/>
          <w:szCs w:val="22"/>
        </w:rPr>
        <w:t>LS on PDCCH Skipping in RRC_CONNECTED</w:t>
      </w:r>
      <w:r w:rsidRPr="007C6403">
        <w:rPr>
          <w:rFonts w:asciiTheme="minorHAnsi" w:hAnsiTheme="minorHAnsi" w:cstheme="minorHAnsi"/>
          <w:sz w:val="20"/>
          <w:szCs w:val="22"/>
        </w:rPr>
        <w:tab/>
        <w:t>RAN2,</w:t>
      </w:r>
      <w:r>
        <w:rPr>
          <w:rFonts w:asciiTheme="minorHAnsi" w:hAnsiTheme="minorHAnsi" w:cstheme="minorHAnsi"/>
          <w:sz w:val="20"/>
          <w:szCs w:val="22"/>
        </w:rPr>
        <w:t xml:space="preserve"> RAN1#108-e, Feb-Mar 2022.</w:t>
      </w:r>
    </w:p>
    <w:p w14:paraId="7BCB331B" w14:textId="7F1B4B66" w:rsidR="00B26C28" w:rsidRDefault="00B26C28">
      <w:pPr>
        <w:pStyle w:val="Heading1"/>
      </w:pPr>
      <w:r>
        <w:t>Annex</w:t>
      </w:r>
    </w:p>
    <w:p w14:paraId="2CC357ED" w14:textId="77777777" w:rsidR="000312D8" w:rsidRPr="000312D8" w:rsidRDefault="000312D8" w:rsidP="000312D8">
      <w:pPr>
        <w:spacing w:after="0"/>
        <w:rPr>
          <w:rFonts w:ascii="Times New Roman" w:eastAsia="DengXian" w:hAnsi="Times New Roman" w:cs="Times New Roman"/>
          <w:sz w:val="20"/>
          <w:szCs w:val="20"/>
          <w:highlight w:val="green"/>
          <w:lang w:eastAsia="zh-CN"/>
        </w:rPr>
      </w:pPr>
      <w:r w:rsidRPr="000312D8">
        <w:rPr>
          <w:rFonts w:ascii="Times New Roman" w:eastAsia="DengXian" w:hAnsi="Times New Roman" w:cs="Times New Roman"/>
          <w:sz w:val="20"/>
          <w:szCs w:val="20"/>
          <w:highlight w:val="green"/>
          <w:lang w:eastAsia="zh-CN"/>
        </w:rPr>
        <w:t>Agreement</w:t>
      </w:r>
    </w:p>
    <w:p w14:paraId="5D10D92A" w14:textId="77777777" w:rsidR="000312D8" w:rsidRPr="000312D8" w:rsidRDefault="000312D8" w:rsidP="000312D8">
      <w:pPr>
        <w:pStyle w:val="BodyText"/>
        <w:spacing w:line="280" w:lineRule="atLeast"/>
        <w:jc w:val="left"/>
        <w:rPr>
          <w:rFonts w:ascii="Times New Roman" w:hAnsi="Times New Roman" w:cs="Times New Roman"/>
          <w:sz w:val="20"/>
          <w:szCs w:val="20"/>
          <w:lang w:eastAsia="zh-CN"/>
        </w:rPr>
      </w:pPr>
      <w:r w:rsidRPr="000312D8">
        <w:rPr>
          <w:rFonts w:ascii="Times New Roman" w:hAnsi="Times New Roman" w:cs="Times New Roman"/>
          <w:sz w:val="20"/>
          <w:szCs w:val="20"/>
          <w:lang w:eastAsia="zh-CN"/>
        </w:rPr>
        <w:t>Remove the bracket from following agreement made in RAN1#106bis-E</w:t>
      </w:r>
    </w:p>
    <w:p w14:paraId="6A6817B1" w14:textId="77777777" w:rsidR="000312D8" w:rsidRPr="000312D8" w:rsidRDefault="000312D8" w:rsidP="000312D8">
      <w:pPr>
        <w:pStyle w:val="BodyText"/>
        <w:spacing w:line="280" w:lineRule="atLeast"/>
        <w:rPr>
          <w:rFonts w:ascii="Times New Roman" w:eastAsia="DengXian" w:hAnsi="Times New Roman" w:cs="Times New Roman"/>
          <w:sz w:val="20"/>
          <w:szCs w:val="20"/>
          <w:highlight w:val="green"/>
          <w:lang w:eastAsia="zh-CN"/>
        </w:rPr>
      </w:pPr>
      <w:r w:rsidRPr="000312D8">
        <w:rPr>
          <w:rFonts w:ascii="Times New Roman" w:eastAsia="DengXian" w:hAnsi="Times New Roman" w:cs="Times New Roman"/>
          <w:sz w:val="20"/>
          <w:szCs w:val="20"/>
          <w:highlight w:val="green"/>
          <w:lang w:eastAsia="zh-CN"/>
        </w:rPr>
        <w:t>Agreement (extracted from RAN1#106bis-E)</w:t>
      </w:r>
    </w:p>
    <w:p w14:paraId="3661CFAC" w14:textId="77777777" w:rsidR="000312D8" w:rsidRPr="000312D8" w:rsidRDefault="000312D8" w:rsidP="000312D8">
      <w:pPr>
        <w:pStyle w:val="BodyText"/>
        <w:numPr>
          <w:ilvl w:val="0"/>
          <w:numId w:val="17"/>
        </w:numPr>
        <w:overflowPunct w:val="0"/>
        <w:autoSpaceDE w:val="0"/>
        <w:autoSpaceDN w:val="0"/>
        <w:spacing w:after="0" w:line="240" w:lineRule="auto"/>
        <w:jc w:val="left"/>
        <w:rPr>
          <w:rFonts w:ascii="Times New Roman" w:hAnsi="Times New Roman" w:cs="Times New Roman"/>
          <w:color w:val="7030A0"/>
          <w:sz w:val="20"/>
          <w:szCs w:val="20"/>
        </w:rPr>
      </w:pPr>
      <w:r w:rsidRPr="000312D8">
        <w:rPr>
          <w:rFonts w:ascii="Times New Roman" w:hAnsi="Times New Roman" w:cs="Times New Roman"/>
          <w:sz w:val="20"/>
          <w:szCs w:val="20"/>
        </w:rPr>
        <w:t xml:space="preserve">For Case 3 (i.e., 3 SSSG switching) </w:t>
      </w:r>
      <w:r w:rsidRPr="000312D8">
        <w:rPr>
          <w:rFonts w:ascii="Times New Roman" w:hAnsi="Times New Roman" w:cs="Times New Roman"/>
          <w:color w:val="7030A0"/>
          <w:sz w:val="20"/>
          <w:szCs w:val="20"/>
        </w:rPr>
        <w:t>, the following is supported</w:t>
      </w:r>
    </w:p>
    <w:p w14:paraId="6168C250" w14:textId="77777777" w:rsidR="000312D8" w:rsidRPr="000312D8" w:rsidRDefault="000312D8" w:rsidP="000312D8">
      <w:pPr>
        <w:pStyle w:val="BodyText"/>
        <w:numPr>
          <w:ilvl w:val="1"/>
          <w:numId w:val="17"/>
        </w:numPr>
        <w:overflowPunct w:val="0"/>
        <w:autoSpaceDE w:val="0"/>
        <w:autoSpaceDN w:val="0"/>
        <w:spacing w:after="0" w:line="240" w:lineRule="auto"/>
        <w:jc w:val="left"/>
        <w:rPr>
          <w:rFonts w:ascii="Times New Roman" w:hAnsi="Times New Roman" w:cs="Times New Roman"/>
          <w:sz w:val="20"/>
          <w:szCs w:val="20"/>
        </w:rPr>
      </w:pPr>
      <w:r w:rsidRPr="000312D8">
        <w:rPr>
          <w:rFonts w:ascii="Times New Roman" w:hAnsi="Times New Roman" w:cs="Times New Roman"/>
          <w:sz w:val="20"/>
          <w:szCs w:val="20"/>
        </w:rPr>
        <w:t>2-bit in scheduling DCI is supported to indicate PDCCH monitoring adaptation UE behaviors</w:t>
      </w:r>
    </w:p>
    <w:p w14:paraId="0AF3662F" w14:textId="77777777" w:rsidR="000312D8" w:rsidRPr="000312D8" w:rsidRDefault="000312D8" w:rsidP="000312D8">
      <w:pPr>
        <w:pStyle w:val="BodyText"/>
        <w:numPr>
          <w:ilvl w:val="2"/>
          <w:numId w:val="17"/>
        </w:numPr>
        <w:overflowPunct w:val="0"/>
        <w:autoSpaceDE w:val="0"/>
        <w:autoSpaceDN w:val="0"/>
        <w:spacing w:after="0" w:line="240" w:lineRule="auto"/>
        <w:jc w:val="left"/>
        <w:rPr>
          <w:rFonts w:ascii="Times New Roman" w:hAnsi="Times New Roman" w:cs="Times New Roman"/>
          <w:sz w:val="20"/>
          <w:szCs w:val="20"/>
        </w:rPr>
      </w:pPr>
      <w:r w:rsidRPr="000312D8">
        <w:rPr>
          <w:rFonts w:ascii="Times New Roman" w:hAnsi="Times New Roman" w:cs="Times New Roman"/>
          <w:sz w:val="20"/>
          <w:szCs w:val="20"/>
        </w:rPr>
        <w:t>‘00’ is Beh 2</w:t>
      </w:r>
    </w:p>
    <w:p w14:paraId="36A3DADD" w14:textId="77777777" w:rsidR="000312D8" w:rsidRPr="000312D8" w:rsidRDefault="000312D8" w:rsidP="000312D8">
      <w:pPr>
        <w:pStyle w:val="BodyText"/>
        <w:numPr>
          <w:ilvl w:val="2"/>
          <w:numId w:val="17"/>
        </w:numPr>
        <w:overflowPunct w:val="0"/>
        <w:autoSpaceDE w:val="0"/>
        <w:autoSpaceDN w:val="0"/>
        <w:spacing w:after="0" w:line="240" w:lineRule="auto"/>
        <w:jc w:val="left"/>
        <w:rPr>
          <w:rFonts w:ascii="Times New Roman" w:hAnsi="Times New Roman" w:cs="Times New Roman"/>
          <w:sz w:val="20"/>
          <w:szCs w:val="20"/>
        </w:rPr>
      </w:pPr>
      <w:r w:rsidRPr="000312D8">
        <w:rPr>
          <w:rFonts w:ascii="Times New Roman" w:hAnsi="Times New Roman" w:cs="Times New Roman"/>
          <w:sz w:val="20"/>
          <w:szCs w:val="20"/>
        </w:rPr>
        <w:t>‘01’ is Beh 2A</w:t>
      </w:r>
    </w:p>
    <w:p w14:paraId="47101631" w14:textId="77777777" w:rsidR="000312D8" w:rsidRPr="000312D8" w:rsidRDefault="000312D8" w:rsidP="000312D8">
      <w:pPr>
        <w:pStyle w:val="BodyText"/>
        <w:numPr>
          <w:ilvl w:val="2"/>
          <w:numId w:val="17"/>
        </w:numPr>
        <w:overflowPunct w:val="0"/>
        <w:autoSpaceDE w:val="0"/>
        <w:autoSpaceDN w:val="0"/>
        <w:spacing w:after="0" w:line="240" w:lineRule="auto"/>
        <w:jc w:val="left"/>
        <w:rPr>
          <w:rFonts w:ascii="Times New Roman" w:eastAsia="DengXian" w:hAnsi="Times New Roman" w:cs="Times New Roman"/>
          <w:sz w:val="20"/>
          <w:szCs w:val="20"/>
          <w:lang w:eastAsia="zh-CN"/>
        </w:rPr>
      </w:pPr>
      <w:r w:rsidRPr="000312D8">
        <w:rPr>
          <w:rFonts w:ascii="Times New Roman" w:hAnsi="Times New Roman" w:cs="Times New Roman"/>
          <w:sz w:val="20"/>
          <w:szCs w:val="20"/>
        </w:rPr>
        <w:t>‘10’ is Beh 2B</w:t>
      </w:r>
    </w:p>
    <w:p w14:paraId="4F3041B2" w14:textId="77777777" w:rsidR="000312D8" w:rsidRPr="000312D8" w:rsidRDefault="000312D8" w:rsidP="000312D8">
      <w:pPr>
        <w:pStyle w:val="BodyText"/>
        <w:numPr>
          <w:ilvl w:val="2"/>
          <w:numId w:val="17"/>
        </w:numPr>
        <w:overflowPunct w:val="0"/>
        <w:autoSpaceDE w:val="0"/>
        <w:autoSpaceDN w:val="0"/>
        <w:spacing w:after="0" w:line="240" w:lineRule="auto"/>
        <w:jc w:val="left"/>
        <w:rPr>
          <w:rFonts w:ascii="Times New Roman" w:eastAsia="DengXian" w:hAnsi="Times New Roman" w:cs="Times New Roman"/>
          <w:color w:val="000000"/>
          <w:sz w:val="20"/>
          <w:szCs w:val="20"/>
          <w:lang w:eastAsia="zh-CN"/>
        </w:rPr>
      </w:pPr>
      <w:r w:rsidRPr="000312D8">
        <w:rPr>
          <w:rFonts w:ascii="Times New Roman" w:hAnsi="Times New Roman" w:cs="Times New Roman"/>
          <w:color w:val="000000"/>
          <w:sz w:val="20"/>
          <w:szCs w:val="20"/>
        </w:rPr>
        <w:t xml:space="preserve"> ‘11’ is reserved</w:t>
      </w:r>
    </w:p>
    <w:p w14:paraId="09553916" w14:textId="77777777" w:rsidR="000312D8" w:rsidRPr="000312D8" w:rsidRDefault="000312D8" w:rsidP="000312D8">
      <w:pPr>
        <w:pStyle w:val="BodyText"/>
        <w:overflowPunct w:val="0"/>
        <w:autoSpaceDE w:val="0"/>
        <w:autoSpaceDN w:val="0"/>
        <w:spacing w:after="0"/>
        <w:ind w:left="1260"/>
        <w:jc w:val="left"/>
        <w:rPr>
          <w:rFonts w:ascii="Times New Roman" w:eastAsia="DengXian" w:hAnsi="Times New Roman" w:cs="Times New Roman"/>
          <w:sz w:val="20"/>
          <w:szCs w:val="20"/>
          <w:lang w:eastAsia="zh-CN"/>
        </w:rPr>
      </w:pPr>
    </w:p>
    <w:p w14:paraId="257BB84B" w14:textId="77777777" w:rsidR="000312D8" w:rsidRPr="000312D8" w:rsidRDefault="000312D8" w:rsidP="000312D8">
      <w:pPr>
        <w:pStyle w:val="BodyText"/>
        <w:overflowPunct w:val="0"/>
        <w:autoSpaceDE w:val="0"/>
        <w:autoSpaceDN w:val="0"/>
        <w:spacing w:after="0"/>
        <w:jc w:val="left"/>
        <w:rPr>
          <w:rFonts w:ascii="Times New Roman" w:eastAsia="DengXian" w:hAnsi="Times New Roman" w:cs="Times New Roman"/>
          <w:sz w:val="20"/>
          <w:szCs w:val="20"/>
          <w:highlight w:val="green"/>
          <w:lang w:eastAsia="zh-CN"/>
        </w:rPr>
      </w:pPr>
      <w:r w:rsidRPr="000312D8">
        <w:rPr>
          <w:rFonts w:ascii="Times New Roman" w:eastAsia="DengXian" w:hAnsi="Times New Roman" w:cs="Times New Roman"/>
          <w:sz w:val="20"/>
          <w:szCs w:val="20"/>
          <w:highlight w:val="green"/>
          <w:lang w:eastAsia="zh-CN"/>
        </w:rPr>
        <w:t>Agreement</w:t>
      </w:r>
    </w:p>
    <w:p w14:paraId="1659CAAC" w14:textId="0F18DFFF" w:rsidR="000312D8" w:rsidRDefault="000312D8" w:rsidP="000312D8">
      <w:pPr>
        <w:pStyle w:val="BodyText"/>
        <w:spacing w:after="0"/>
        <w:jc w:val="left"/>
        <w:rPr>
          <w:rFonts w:ascii="Times New Roman" w:hAnsi="Times New Roman" w:cs="Times New Roman"/>
          <w:sz w:val="20"/>
          <w:szCs w:val="20"/>
        </w:rPr>
      </w:pPr>
      <w:r w:rsidRPr="000312D8">
        <w:rPr>
          <w:rFonts w:ascii="Times New Roman" w:hAnsi="Times New Roman" w:cs="Times New Roman"/>
          <w:sz w:val="20"/>
          <w:szCs w:val="20"/>
        </w:rPr>
        <w:t xml:space="preserve">Confirm the </w:t>
      </w:r>
      <w:r w:rsidRPr="000312D8">
        <w:rPr>
          <w:rFonts w:ascii="Times New Roman" w:hAnsi="Times New Roman" w:cs="Times New Roman"/>
          <w:sz w:val="20"/>
          <w:szCs w:val="20"/>
          <w:lang w:eastAsia="zh-CN"/>
        </w:rPr>
        <w:t xml:space="preserve">following </w:t>
      </w:r>
      <w:r w:rsidRPr="000312D8">
        <w:rPr>
          <w:rFonts w:ascii="Times New Roman" w:hAnsi="Times New Roman" w:cs="Times New Roman"/>
          <w:sz w:val="20"/>
          <w:szCs w:val="20"/>
        </w:rPr>
        <w:t>working assumption (extracted from RAN1#10</w:t>
      </w:r>
      <w:r w:rsidRPr="000312D8">
        <w:rPr>
          <w:rFonts w:ascii="Times New Roman" w:hAnsi="Times New Roman" w:cs="Times New Roman"/>
          <w:sz w:val="20"/>
          <w:szCs w:val="20"/>
          <w:lang w:eastAsia="zh-CN"/>
        </w:rPr>
        <w:t>7</w:t>
      </w:r>
      <w:r w:rsidRPr="000312D8">
        <w:rPr>
          <w:rFonts w:ascii="Times New Roman" w:hAnsi="Times New Roman" w:cs="Times New Roman"/>
          <w:sz w:val="20"/>
          <w:szCs w:val="20"/>
        </w:rPr>
        <w:t>-bis agreements)</w:t>
      </w:r>
    </w:p>
    <w:p w14:paraId="4855E4B8" w14:textId="77777777" w:rsidR="000312D8" w:rsidRPr="000312D8" w:rsidRDefault="000312D8" w:rsidP="000312D8">
      <w:pPr>
        <w:pStyle w:val="BodyText"/>
        <w:spacing w:after="0"/>
        <w:jc w:val="left"/>
        <w:rPr>
          <w:rFonts w:ascii="Times New Roman" w:hAnsi="Times New Roman" w:cs="Times New Roman"/>
          <w:sz w:val="20"/>
          <w:szCs w:val="20"/>
        </w:rPr>
      </w:pPr>
    </w:p>
    <w:p w14:paraId="0DC0EF85" w14:textId="77777777" w:rsidR="000312D8" w:rsidRPr="000312D8" w:rsidRDefault="000312D8" w:rsidP="00954FB1">
      <w:pPr>
        <w:spacing w:after="0"/>
        <w:rPr>
          <w:rFonts w:ascii="Times New Roman" w:hAnsi="Times New Roman" w:cs="Times New Roman"/>
          <w:sz w:val="20"/>
          <w:szCs w:val="20"/>
          <w:highlight w:val="green"/>
          <w:lang w:eastAsia="zh-CN"/>
        </w:rPr>
      </w:pPr>
      <w:r w:rsidRPr="000312D8">
        <w:rPr>
          <w:rFonts w:ascii="Times New Roman" w:hAnsi="Times New Roman" w:cs="Times New Roman"/>
          <w:sz w:val="20"/>
          <w:szCs w:val="20"/>
          <w:highlight w:val="green"/>
          <w:lang w:eastAsia="zh-CN"/>
        </w:rPr>
        <w:t>Agreement</w:t>
      </w:r>
    </w:p>
    <w:p w14:paraId="3DB17C49" w14:textId="77777777" w:rsidR="000312D8" w:rsidRPr="000312D8" w:rsidRDefault="000312D8" w:rsidP="000312D8">
      <w:pPr>
        <w:pStyle w:val="ListParagraph"/>
        <w:numPr>
          <w:ilvl w:val="0"/>
          <w:numId w:val="19"/>
        </w:numPr>
        <w:rPr>
          <w:rFonts w:ascii="Times New Roman" w:hAnsi="Times New Roman" w:cs="Times New Roman"/>
          <w:sz w:val="20"/>
          <w:szCs w:val="20"/>
          <w:lang w:eastAsia="zh-CN"/>
        </w:rPr>
      </w:pPr>
      <w:r w:rsidRPr="000312D8">
        <w:rPr>
          <w:rFonts w:ascii="Times New Roman" w:hAnsi="Times New Roman" w:cs="Times New Roman"/>
          <w:sz w:val="20"/>
          <w:szCs w:val="20"/>
          <w:lang w:eastAsia="zh-CN"/>
        </w:rPr>
        <w:t>For value X in Beh 1A, candidate skipping values are</w:t>
      </w:r>
    </w:p>
    <w:p w14:paraId="5CF9D47C" w14:textId="77777777" w:rsidR="000312D8" w:rsidRPr="000312D8" w:rsidRDefault="000312D8" w:rsidP="000312D8">
      <w:pPr>
        <w:pStyle w:val="ListParagraph"/>
        <w:numPr>
          <w:ilvl w:val="1"/>
          <w:numId w:val="19"/>
        </w:numPr>
        <w:rPr>
          <w:rFonts w:ascii="Times New Roman" w:hAnsi="Times New Roman" w:cs="Times New Roman"/>
          <w:sz w:val="20"/>
          <w:szCs w:val="20"/>
          <w:lang w:eastAsia="zh-CN"/>
        </w:rPr>
      </w:pPr>
      <w:r w:rsidRPr="000312D8">
        <w:rPr>
          <w:rFonts w:ascii="Times New Roman" w:hAnsi="Times New Roman" w:cs="Times New Roman"/>
          <w:sz w:val="20"/>
          <w:szCs w:val="20"/>
          <w:lang w:eastAsia="zh-CN"/>
        </w:rPr>
        <w:lastRenderedPageBreak/>
        <w:t>Up to [100ms] length is supported,</w:t>
      </w:r>
    </w:p>
    <w:p w14:paraId="77597C53" w14:textId="77777777" w:rsidR="000312D8" w:rsidRPr="000312D8" w:rsidRDefault="000312D8" w:rsidP="000312D8">
      <w:pPr>
        <w:pStyle w:val="ListParagraph"/>
        <w:numPr>
          <w:ilvl w:val="2"/>
          <w:numId w:val="19"/>
        </w:numPr>
        <w:rPr>
          <w:rFonts w:ascii="Times New Roman" w:hAnsi="Times New Roman" w:cs="Times New Roman"/>
          <w:sz w:val="20"/>
          <w:szCs w:val="20"/>
          <w:lang w:eastAsia="zh-CN"/>
        </w:rPr>
      </w:pPr>
      <w:r w:rsidRPr="000312D8">
        <w:rPr>
          <w:rFonts w:ascii="Times New Roman" w:hAnsi="Times New Roman" w:cs="Times New Roman"/>
          <w:sz w:val="20"/>
          <w:szCs w:val="20"/>
          <w:lang w:eastAsia="zh-CN"/>
        </w:rPr>
        <w:t>The X is configured and indicated in the unit of slot.</w:t>
      </w:r>
    </w:p>
    <w:p w14:paraId="3F036FD8" w14:textId="77777777" w:rsidR="000312D8" w:rsidRPr="000312D8" w:rsidRDefault="000312D8" w:rsidP="000312D8">
      <w:pPr>
        <w:pStyle w:val="ListParagraph"/>
        <w:numPr>
          <w:ilvl w:val="3"/>
          <w:numId w:val="19"/>
        </w:numPr>
        <w:rPr>
          <w:rFonts w:ascii="Times New Roman" w:hAnsi="Times New Roman" w:cs="Times New Roman"/>
          <w:sz w:val="20"/>
          <w:szCs w:val="20"/>
          <w:lang w:eastAsia="zh-CN"/>
        </w:rPr>
      </w:pPr>
      <w:r w:rsidRPr="000312D8">
        <w:rPr>
          <w:rFonts w:ascii="Times New Roman" w:hAnsi="Times New Roman" w:cs="Times New Roman"/>
          <w:sz w:val="20"/>
          <w:szCs w:val="20"/>
          <w:highlight w:val="darkYellow"/>
          <w:shd w:val="clear" w:color="auto" w:fill="FFFF00"/>
          <w:lang w:eastAsia="zh-CN"/>
        </w:rPr>
        <w:t>Working assumption</w:t>
      </w:r>
      <w:r w:rsidRPr="000312D8">
        <w:rPr>
          <w:rFonts w:ascii="Times New Roman" w:hAnsi="Times New Roman" w:cs="Times New Roman"/>
          <w:sz w:val="20"/>
          <w:szCs w:val="20"/>
          <w:lang w:eastAsia="zh-CN"/>
        </w:rPr>
        <w:t> for candidate values for X</w:t>
      </w:r>
    </w:p>
    <w:p w14:paraId="01E67655" w14:textId="77777777" w:rsidR="000312D8" w:rsidRPr="000312D8" w:rsidRDefault="000312D8" w:rsidP="000312D8">
      <w:pPr>
        <w:pStyle w:val="ListParagraph"/>
        <w:numPr>
          <w:ilvl w:val="4"/>
          <w:numId w:val="19"/>
        </w:numPr>
        <w:rPr>
          <w:rFonts w:ascii="Times New Roman" w:hAnsi="Times New Roman" w:cs="Times New Roman"/>
          <w:sz w:val="20"/>
          <w:szCs w:val="20"/>
          <w:lang w:eastAsia="zh-CN"/>
        </w:rPr>
      </w:pPr>
      <w:r w:rsidRPr="000312D8">
        <w:rPr>
          <w:rFonts w:ascii="Times New Roman" w:hAnsi="Times New Roman" w:cs="Times New Roman"/>
          <w:sz w:val="20"/>
          <w:szCs w:val="20"/>
          <w:lang w:val="en-US" w:eastAsia="zh-CN"/>
        </w:rPr>
        <w:t>{1,2,</w:t>
      </w:r>
      <w:proofErr w:type="gramStart"/>
      <w:r w:rsidRPr="000312D8">
        <w:rPr>
          <w:rFonts w:ascii="Times New Roman" w:hAnsi="Times New Roman" w:cs="Times New Roman"/>
          <w:sz w:val="20"/>
          <w:szCs w:val="20"/>
          <w:lang w:val="en-US" w:eastAsia="zh-CN"/>
        </w:rPr>
        <w:t>3,…</w:t>
      </w:r>
      <w:proofErr w:type="gramEnd"/>
      <w:r w:rsidRPr="000312D8">
        <w:rPr>
          <w:rFonts w:ascii="Times New Roman" w:hAnsi="Times New Roman" w:cs="Times New Roman"/>
          <w:sz w:val="20"/>
          <w:szCs w:val="20"/>
          <w:lang w:val="en-US" w:eastAsia="zh-CN"/>
        </w:rPr>
        <w:t>,20,30, 40, 50, 60, 80, 100} for 15 kHz SCS,</w:t>
      </w:r>
    </w:p>
    <w:p w14:paraId="01564B96" w14:textId="77777777" w:rsidR="000312D8" w:rsidRPr="000312D8" w:rsidRDefault="000312D8" w:rsidP="000312D8">
      <w:pPr>
        <w:pStyle w:val="ListParagraph"/>
        <w:numPr>
          <w:ilvl w:val="4"/>
          <w:numId w:val="19"/>
        </w:numPr>
        <w:rPr>
          <w:rFonts w:ascii="Times New Roman" w:hAnsi="Times New Roman" w:cs="Times New Roman"/>
          <w:sz w:val="20"/>
          <w:szCs w:val="20"/>
          <w:lang w:eastAsia="zh-CN"/>
        </w:rPr>
      </w:pPr>
      <w:r w:rsidRPr="000312D8">
        <w:rPr>
          <w:rFonts w:ascii="Times New Roman" w:hAnsi="Times New Roman" w:cs="Times New Roman"/>
          <w:sz w:val="20"/>
          <w:szCs w:val="20"/>
          <w:lang w:val="en-US" w:eastAsia="zh-CN"/>
        </w:rPr>
        <w:t>{1,2,</w:t>
      </w:r>
      <w:proofErr w:type="gramStart"/>
      <w:r w:rsidRPr="000312D8">
        <w:rPr>
          <w:rFonts w:ascii="Times New Roman" w:hAnsi="Times New Roman" w:cs="Times New Roman"/>
          <w:sz w:val="20"/>
          <w:szCs w:val="20"/>
          <w:lang w:val="en-US" w:eastAsia="zh-CN"/>
        </w:rPr>
        <w:t>3,…</w:t>
      </w:r>
      <w:proofErr w:type="gramEnd"/>
      <w:r w:rsidRPr="000312D8">
        <w:rPr>
          <w:rFonts w:ascii="Times New Roman" w:hAnsi="Times New Roman" w:cs="Times New Roman"/>
          <w:sz w:val="20"/>
          <w:szCs w:val="20"/>
          <w:lang w:val="en-US" w:eastAsia="zh-CN"/>
        </w:rPr>
        <w:t>,40, 60, 80, 100, 120,160,200} for 30 kHz SCS,</w:t>
      </w:r>
    </w:p>
    <w:p w14:paraId="669E6F84" w14:textId="77777777" w:rsidR="000312D8" w:rsidRPr="000312D8" w:rsidRDefault="000312D8" w:rsidP="000312D8">
      <w:pPr>
        <w:pStyle w:val="ListParagraph"/>
        <w:numPr>
          <w:ilvl w:val="4"/>
          <w:numId w:val="19"/>
        </w:numPr>
        <w:rPr>
          <w:rFonts w:ascii="Times New Roman" w:hAnsi="Times New Roman" w:cs="Times New Roman"/>
          <w:sz w:val="20"/>
          <w:szCs w:val="20"/>
          <w:lang w:eastAsia="zh-CN"/>
        </w:rPr>
      </w:pPr>
      <w:r w:rsidRPr="000312D8">
        <w:rPr>
          <w:rFonts w:ascii="Times New Roman" w:hAnsi="Times New Roman" w:cs="Times New Roman"/>
          <w:sz w:val="20"/>
          <w:szCs w:val="20"/>
          <w:lang w:val="en-US" w:eastAsia="zh-CN"/>
        </w:rPr>
        <w:t>{1,2,</w:t>
      </w:r>
      <w:proofErr w:type="gramStart"/>
      <w:r w:rsidRPr="000312D8">
        <w:rPr>
          <w:rFonts w:ascii="Times New Roman" w:hAnsi="Times New Roman" w:cs="Times New Roman"/>
          <w:sz w:val="20"/>
          <w:szCs w:val="20"/>
          <w:lang w:val="en-US" w:eastAsia="zh-CN"/>
        </w:rPr>
        <w:t>3,…</w:t>
      </w:r>
      <w:proofErr w:type="gramEnd"/>
      <w:r w:rsidRPr="000312D8">
        <w:rPr>
          <w:rFonts w:ascii="Times New Roman" w:hAnsi="Times New Roman" w:cs="Times New Roman"/>
          <w:sz w:val="20"/>
          <w:szCs w:val="20"/>
          <w:lang w:val="en-US" w:eastAsia="zh-CN"/>
        </w:rPr>
        <w:t>,80, 120, 160, 200, 240, 320,400} for 60kHz SCS,</w:t>
      </w:r>
    </w:p>
    <w:p w14:paraId="67290A5D" w14:textId="77777777" w:rsidR="000312D8" w:rsidRPr="000312D8" w:rsidRDefault="000312D8" w:rsidP="000312D8">
      <w:pPr>
        <w:pStyle w:val="ListParagraph"/>
        <w:numPr>
          <w:ilvl w:val="4"/>
          <w:numId w:val="19"/>
        </w:numPr>
        <w:rPr>
          <w:rFonts w:ascii="Times New Roman" w:hAnsi="Times New Roman" w:cs="Times New Roman"/>
          <w:sz w:val="20"/>
          <w:szCs w:val="20"/>
          <w:lang w:eastAsia="zh-CN"/>
        </w:rPr>
      </w:pPr>
      <w:r w:rsidRPr="000312D8">
        <w:rPr>
          <w:rFonts w:ascii="Times New Roman" w:hAnsi="Times New Roman" w:cs="Times New Roman"/>
          <w:sz w:val="20"/>
          <w:szCs w:val="20"/>
          <w:lang w:val="en-US" w:eastAsia="zh-CN"/>
        </w:rPr>
        <w:t>{1,2,</w:t>
      </w:r>
      <w:proofErr w:type="gramStart"/>
      <w:r w:rsidRPr="000312D8">
        <w:rPr>
          <w:rFonts w:ascii="Times New Roman" w:hAnsi="Times New Roman" w:cs="Times New Roman"/>
          <w:sz w:val="20"/>
          <w:szCs w:val="20"/>
          <w:lang w:val="en-US" w:eastAsia="zh-CN"/>
        </w:rPr>
        <w:t>3,…</w:t>
      </w:r>
      <w:proofErr w:type="gramEnd"/>
      <w:r w:rsidRPr="000312D8">
        <w:rPr>
          <w:rFonts w:ascii="Times New Roman" w:hAnsi="Times New Roman" w:cs="Times New Roman"/>
          <w:sz w:val="20"/>
          <w:szCs w:val="20"/>
          <w:lang w:val="en-US" w:eastAsia="zh-CN"/>
        </w:rPr>
        <w:t>,160, 240, 320,400, 480, 640,800} for 120kHz SCS</w:t>
      </w:r>
    </w:p>
    <w:p w14:paraId="2C7F82B4" w14:textId="77777777" w:rsidR="000312D8" w:rsidRPr="000312D8" w:rsidRDefault="000312D8" w:rsidP="000312D8">
      <w:pPr>
        <w:pStyle w:val="ListParagraph"/>
        <w:numPr>
          <w:ilvl w:val="1"/>
          <w:numId w:val="19"/>
        </w:numPr>
        <w:rPr>
          <w:rFonts w:ascii="Times New Roman" w:hAnsi="Times New Roman" w:cs="Times New Roman"/>
          <w:sz w:val="20"/>
          <w:szCs w:val="20"/>
          <w:lang w:eastAsia="zh-CN"/>
        </w:rPr>
      </w:pPr>
      <w:r w:rsidRPr="000312D8">
        <w:rPr>
          <w:rFonts w:ascii="Times New Roman" w:hAnsi="Times New Roman" w:cs="Times New Roman"/>
          <w:sz w:val="20"/>
          <w:szCs w:val="20"/>
          <w:lang w:eastAsia="zh-CN"/>
        </w:rPr>
        <w:t>FFS: Equal to or longer than the applicable minimum scheduling offset</w:t>
      </w:r>
    </w:p>
    <w:p w14:paraId="32C602F7" w14:textId="77777777" w:rsidR="000312D8" w:rsidRPr="000312D8" w:rsidRDefault="000312D8" w:rsidP="000312D8">
      <w:pPr>
        <w:pStyle w:val="ListParagraph"/>
        <w:numPr>
          <w:ilvl w:val="1"/>
          <w:numId w:val="19"/>
        </w:numPr>
        <w:rPr>
          <w:rFonts w:ascii="Times New Roman" w:hAnsi="Times New Roman" w:cs="Times New Roman"/>
          <w:sz w:val="20"/>
          <w:szCs w:val="20"/>
          <w:lang w:eastAsia="zh-CN"/>
        </w:rPr>
      </w:pPr>
      <w:r w:rsidRPr="000312D8">
        <w:rPr>
          <w:rFonts w:ascii="Times New Roman" w:hAnsi="Times New Roman" w:cs="Times New Roman"/>
          <w:sz w:val="20"/>
          <w:szCs w:val="20"/>
          <w:lang w:eastAsia="zh-CN"/>
        </w:rPr>
        <w:t>FFS: additional symbol level / PDCCH monitoring period level skipping duration</w:t>
      </w:r>
    </w:p>
    <w:p w14:paraId="6D6FD42D" w14:textId="77777777" w:rsidR="000312D8" w:rsidRPr="000312D8" w:rsidRDefault="000312D8" w:rsidP="00954FB1">
      <w:pPr>
        <w:pStyle w:val="BodyText"/>
        <w:overflowPunct w:val="0"/>
        <w:autoSpaceDE w:val="0"/>
        <w:autoSpaceDN w:val="0"/>
        <w:spacing w:after="0"/>
        <w:jc w:val="left"/>
        <w:rPr>
          <w:rFonts w:ascii="Times New Roman" w:eastAsia="DengXian" w:hAnsi="Times New Roman" w:cs="Times New Roman"/>
          <w:sz w:val="20"/>
          <w:szCs w:val="20"/>
          <w:lang w:eastAsia="zh-CN"/>
        </w:rPr>
      </w:pPr>
    </w:p>
    <w:p w14:paraId="762BA9F8" w14:textId="77777777" w:rsidR="000312D8" w:rsidRPr="000312D8" w:rsidRDefault="000312D8" w:rsidP="000312D8">
      <w:pPr>
        <w:pStyle w:val="BodyText"/>
        <w:overflowPunct w:val="0"/>
        <w:autoSpaceDE w:val="0"/>
        <w:autoSpaceDN w:val="0"/>
        <w:spacing w:after="0"/>
        <w:jc w:val="left"/>
        <w:rPr>
          <w:rFonts w:ascii="Times New Roman" w:eastAsia="DengXian" w:hAnsi="Times New Roman" w:cs="Times New Roman"/>
          <w:sz w:val="20"/>
          <w:szCs w:val="20"/>
          <w:highlight w:val="green"/>
          <w:lang w:eastAsia="zh-CN"/>
        </w:rPr>
      </w:pPr>
      <w:r w:rsidRPr="000312D8">
        <w:rPr>
          <w:rFonts w:ascii="Times New Roman" w:eastAsia="DengXian" w:hAnsi="Times New Roman" w:cs="Times New Roman"/>
          <w:sz w:val="20"/>
          <w:szCs w:val="20"/>
          <w:highlight w:val="green"/>
          <w:lang w:eastAsia="zh-CN"/>
        </w:rPr>
        <w:t>Agreement</w:t>
      </w:r>
    </w:p>
    <w:p w14:paraId="04249764" w14:textId="77777777" w:rsidR="000312D8" w:rsidRPr="000312D8" w:rsidRDefault="000312D8" w:rsidP="000312D8">
      <w:pPr>
        <w:numPr>
          <w:ilvl w:val="0"/>
          <w:numId w:val="20"/>
        </w:numPr>
        <w:overflowPunct w:val="0"/>
        <w:autoSpaceDE w:val="0"/>
        <w:autoSpaceDN w:val="0"/>
        <w:spacing w:after="0" w:line="240" w:lineRule="auto"/>
        <w:ind w:left="426"/>
        <w:rPr>
          <w:rFonts w:ascii="Times New Roman" w:eastAsia="DengXian" w:hAnsi="Times New Roman" w:cs="Times New Roman"/>
          <w:sz w:val="20"/>
          <w:szCs w:val="20"/>
          <w:lang w:eastAsia="zh-CN"/>
        </w:rPr>
      </w:pPr>
      <w:r w:rsidRPr="000312D8">
        <w:rPr>
          <w:rFonts w:ascii="Times New Roman" w:hAnsi="Times New Roman" w:cs="Times New Roman"/>
          <w:sz w:val="20"/>
          <w:szCs w:val="20"/>
        </w:rPr>
        <w:t>The initial timer value for switching from SSSG#2 to SSSG#0 and from SSSG#1 to SSSG#0 is common and configured per BWP.</w:t>
      </w:r>
    </w:p>
    <w:p w14:paraId="78F3A7DF" w14:textId="49F3757C" w:rsidR="000312D8" w:rsidRPr="00992505" w:rsidRDefault="000312D8" w:rsidP="00992505">
      <w:pPr>
        <w:numPr>
          <w:ilvl w:val="0"/>
          <w:numId w:val="20"/>
        </w:numPr>
        <w:overflowPunct w:val="0"/>
        <w:autoSpaceDE w:val="0"/>
        <w:autoSpaceDN w:val="0"/>
        <w:spacing w:line="240" w:lineRule="auto"/>
        <w:ind w:left="426"/>
        <w:rPr>
          <w:rFonts w:ascii="Times New Roman" w:eastAsia="DengXian" w:hAnsi="Times New Roman" w:cs="Times New Roman"/>
          <w:sz w:val="20"/>
          <w:szCs w:val="20"/>
          <w:lang w:eastAsia="zh-CN"/>
        </w:rPr>
      </w:pPr>
      <w:r w:rsidRPr="000312D8">
        <w:rPr>
          <w:rFonts w:ascii="Times New Roman" w:hAnsi="Times New Roman" w:cs="Times New Roman"/>
          <w:sz w:val="20"/>
          <w:szCs w:val="20"/>
        </w:rPr>
        <w:t>T</w:t>
      </w:r>
      <w:r w:rsidRPr="000312D8">
        <w:rPr>
          <w:rFonts w:ascii="Times New Roman" w:hAnsi="Times New Roman" w:cs="Times New Roman"/>
          <w:sz w:val="20"/>
          <w:szCs w:val="20"/>
          <w:lang w:eastAsia="en-GB"/>
        </w:rPr>
        <w:t xml:space="preserve">he </w:t>
      </w:r>
      <w:r w:rsidRPr="000312D8">
        <w:rPr>
          <w:rFonts w:ascii="Times New Roman" w:hAnsi="Times New Roman" w:cs="Times New Roman"/>
          <w:i/>
          <w:iCs/>
          <w:sz w:val="20"/>
          <w:szCs w:val="20"/>
          <w:lang w:eastAsia="en-GB"/>
        </w:rPr>
        <w:t>PDCCHSkippingDurationList-r17</w:t>
      </w:r>
      <w:r w:rsidRPr="000312D8">
        <w:rPr>
          <w:rFonts w:ascii="Times New Roman" w:hAnsi="Times New Roman" w:cs="Times New Roman"/>
          <w:sz w:val="20"/>
          <w:szCs w:val="20"/>
          <w:lang w:eastAsia="en-GB"/>
        </w:rPr>
        <w:t xml:space="preserve"> is configured per BWP.</w:t>
      </w:r>
    </w:p>
    <w:p w14:paraId="367C0BE0" w14:textId="77777777" w:rsidR="000312D8" w:rsidRPr="000312D8" w:rsidRDefault="000312D8" w:rsidP="000312D8">
      <w:pPr>
        <w:spacing w:before="120" w:line="280" w:lineRule="atLeast"/>
        <w:jc w:val="both"/>
        <w:rPr>
          <w:rFonts w:ascii="Times New Roman" w:hAnsi="Times New Roman" w:cs="Times New Roman"/>
          <w:sz w:val="20"/>
          <w:szCs w:val="20"/>
          <w:highlight w:val="darkYellow"/>
        </w:rPr>
      </w:pPr>
      <w:r w:rsidRPr="000312D8">
        <w:rPr>
          <w:rFonts w:ascii="Times New Roman" w:eastAsia="SimSun" w:hAnsi="Times New Roman" w:cs="Times New Roman"/>
          <w:color w:val="000000"/>
          <w:sz w:val="20"/>
          <w:szCs w:val="20"/>
          <w:highlight w:val="darkYellow"/>
          <w:shd w:val="clear" w:color="auto" w:fill="FFFF00"/>
          <w:lang w:eastAsia="zh-CN" w:bidi="ar"/>
        </w:rPr>
        <w:t>Working Assumption</w:t>
      </w:r>
    </w:p>
    <w:p w14:paraId="4FE05F93" w14:textId="77777777" w:rsidR="000312D8" w:rsidRPr="000312D8" w:rsidRDefault="000312D8" w:rsidP="000312D8">
      <w:pPr>
        <w:numPr>
          <w:ilvl w:val="0"/>
          <w:numId w:val="21"/>
        </w:numPr>
        <w:spacing w:after="0" w:line="240" w:lineRule="auto"/>
        <w:rPr>
          <w:rFonts w:ascii="Times New Roman" w:eastAsia="DengXian" w:hAnsi="Times New Roman" w:cs="Times New Roman"/>
          <w:sz w:val="20"/>
          <w:szCs w:val="20"/>
          <w:lang w:eastAsia="zh-CN" w:bidi="ar"/>
        </w:rPr>
      </w:pPr>
      <w:r w:rsidRPr="000312D8">
        <w:rPr>
          <w:rFonts w:ascii="Times New Roman" w:eastAsia="SimSun" w:hAnsi="Times New Roman" w:cs="Times New Roman"/>
          <w:sz w:val="20"/>
          <w:szCs w:val="20"/>
          <w:lang w:eastAsia="zh-CN" w:bidi="ar"/>
        </w:rPr>
        <w:t>The bit length of the candidate skipping values and SSSG switching initial timer values in slots for 480kHz and 960kHz SCS are assumed to be the same as that for 120KHz SCS</w:t>
      </w:r>
    </w:p>
    <w:p w14:paraId="6DBF6404" w14:textId="77777777" w:rsidR="000312D8" w:rsidRPr="000312D8" w:rsidRDefault="000312D8" w:rsidP="000312D8">
      <w:pPr>
        <w:rPr>
          <w:rFonts w:ascii="Times New Roman" w:eastAsia="DengXian" w:hAnsi="Times New Roman" w:cs="Times New Roman"/>
          <w:sz w:val="20"/>
          <w:szCs w:val="20"/>
          <w:lang w:eastAsia="zh-CN"/>
        </w:rPr>
      </w:pPr>
    </w:p>
    <w:p w14:paraId="626CD095" w14:textId="77777777" w:rsidR="000312D8" w:rsidRPr="000312D8" w:rsidRDefault="000312D8" w:rsidP="00770BC8">
      <w:pPr>
        <w:spacing w:after="0"/>
        <w:rPr>
          <w:rFonts w:ascii="Times New Roman" w:eastAsia="DengXian" w:hAnsi="Times New Roman" w:cs="Times New Roman"/>
          <w:sz w:val="20"/>
          <w:szCs w:val="20"/>
          <w:highlight w:val="green"/>
          <w:lang w:eastAsia="zh-CN"/>
        </w:rPr>
      </w:pPr>
      <w:r w:rsidRPr="000312D8">
        <w:rPr>
          <w:rFonts w:ascii="Times New Roman" w:eastAsia="DengXian" w:hAnsi="Times New Roman" w:cs="Times New Roman"/>
          <w:sz w:val="20"/>
          <w:szCs w:val="20"/>
          <w:highlight w:val="green"/>
          <w:lang w:eastAsia="zh-CN"/>
        </w:rPr>
        <w:t>Agreement</w:t>
      </w:r>
    </w:p>
    <w:p w14:paraId="7E729012" w14:textId="5E3E9839" w:rsidR="000312D8" w:rsidRPr="000312D8" w:rsidRDefault="000312D8" w:rsidP="000312D8">
      <w:pPr>
        <w:rPr>
          <w:rFonts w:ascii="Times New Roman" w:eastAsia="SimSun" w:hAnsi="Times New Roman" w:cs="Times New Roman"/>
          <w:sz w:val="20"/>
          <w:szCs w:val="20"/>
          <w:lang w:eastAsia="zh-CN" w:bidi="ar"/>
        </w:rPr>
      </w:pPr>
      <w:r w:rsidRPr="000312D8">
        <w:rPr>
          <w:rFonts w:ascii="Times New Roman" w:eastAsia="SimSun" w:hAnsi="Times New Roman" w:cs="Times New Roman"/>
          <w:sz w:val="20"/>
          <w:szCs w:val="20"/>
          <w:lang w:eastAsia="zh-CN" w:bidi="ar"/>
        </w:rPr>
        <w:t xml:space="preserve">PDCCH monitoring adaptation is only applied to the individual </w:t>
      </w:r>
      <w:r w:rsidRPr="000312D8">
        <w:rPr>
          <w:rFonts w:ascii="Times New Roman" w:eastAsia="SimSun" w:hAnsi="Times New Roman" w:cs="Times New Roman"/>
          <w:color w:val="000000"/>
          <w:sz w:val="20"/>
          <w:szCs w:val="20"/>
          <w:lang w:eastAsia="zh-CN" w:bidi="ar"/>
        </w:rPr>
        <w:t>scheduling c</w:t>
      </w:r>
      <w:r w:rsidRPr="000312D8">
        <w:rPr>
          <w:rFonts w:ascii="Times New Roman" w:eastAsia="SimSun" w:hAnsi="Times New Roman" w:cs="Times New Roman"/>
          <w:sz w:val="20"/>
          <w:szCs w:val="20"/>
          <w:lang w:eastAsia="zh-CN" w:bidi="ar"/>
        </w:rPr>
        <w:t>ell (including self-scheduling and cross-carrier scheduling)  </w:t>
      </w:r>
    </w:p>
    <w:p w14:paraId="0C0DFB1A" w14:textId="77777777" w:rsidR="000312D8" w:rsidRPr="000312D8" w:rsidRDefault="000312D8" w:rsidP="00004CE8">
      <w:pPr>
        <w:spacing w:after="0"/>
        <w:rPr>
          <w:rFonts w:ascii="Times New Roman" w:eastAsia="SimSun" w:hAnsi="Times New Roman" w:cs="Times New Roman"/>
          <w:sz w:val="20"/>
          <w:szCs w:val="20"/>
          <w:lang w:eastAsia="zh-CN" w:bidi="ar"/>
        </w:rPr>
      </w:pPr>
      <w:r w:rsidRPr="000312D8">
        <w:rPr>
          <w:rFonts w:ascii="Times New Roman" w:eastAsia="SimSun" w:hAnsi="Times New Roman" w:cs="Times New Roman"/>
          <w:sz w:val="20"/>
          <w:szCs w:val="20"/>
          <w:lang w:eastAsia="zh-CN" w:bidi="ar"/>
        </w:rPr>
        <w:t>Conclusion</w:t>
      </w:r>
    </w:p>
    <w:p w14:paraId="4D102E85" w14:textId="7CD7E51E" w:rsidR="000312D8" w:rsidRDefault="000312D8" w:rsidP="00004CE8">
      <w:pPr>
        <w:spacing w:after="0"/>
        <w:rPr>
          <w:rFonts w:ascii="Times New Roman" w:eastAsia="SimSun" w:hAnsi="Times New Roman" w:cs="Times New Roman"/>
          <w:sz w:val="20"/>
          <w:szCs w:val="20"/>
          <w:lang w:eastAsia="zh-CN" w:bidi="ar"/>
        </w:rPr>
      </w:pPr>
      <w:r w:rsidRPr="000312D8">
        <w:rPr>
          <w:rFonts w:ascii="Times New Roman" w:eastAsia="SimSun" w:hAnsi="Times New Roman" w:cs="Times New Roman"/>
          <w:sz w:val="20"/>
          <w:szCs w:val="20"/>
          <w:lang w:eastAsia="zh-CN" w:bidi="ar"/>
        </w:rPr>
        <w:t>For Rel-17 PDCCH monitoring adaptation, the case where single DCI indicates monitoring adaptation for multiple cells is not supported.</w:t>
      </w:r>
    </w:p>
    <w:p w14:paraId="017DA983" w14:textId="77777777" w:rsidR="00004CE8" w:rsidRPr="00004CE8" w:rsidRDefault="00004CE8" w:rsidP="00004CE8">
      <w:pPr>
        <w:spacing w:after="0"/>
        <w:rPr>
          <w:rFonts w:ascii="Times New Roman" w:eastAsia="SimSun" w:hAnsi="Times New Roman" w:cs="Times New Roman"/>
          <w:sz w:val="20"/>
          <w:szCs w:val="20"/>
          <w:lang w:eastAsia="zh-CN" w:bidi="ar"/>
        </w:rPr>
      </w:pPr>
    </w:p>
    <w:p w14:paraId="00D57E76" w14:textId="77777777" w:rsidR="000312D8" w:rsidRPr="000312D8" w:rsidRDefault="000312D8" w:rsidP="00004CE8">
      <w:pPr>
        <w:spacing w:after="0"/>
        <w:rPr>
          <w:rFonts w:ascii="Times New Roman" w:hAnsi="Times New Roman" w:cs="Times New Roman"/>
          <w:sz w:val="20"/>
          <w:szCs w:val="20"/>
          <w:highlight w:val="green"/>
        </w:rPr>
      </w:pPr>
      <w:r w:rsidRPr="000312D8">
        <w:rPr>
          <w:rFonts w:ascii="Times New Roman" w:eastAsia="SimSun" w:hAnsi="Times New Roman" w:cs="Times New Roman"/>
          <w:sz w:val="20"/>
          <w:szCs w:val="20"/>
          <w:highlight w:val="green"/>
          <w:lang w:eastAsia="zh-CN" w:bidi="ar"/>
        </w:rPr>
        <w:t>Agreement</w:t>
      </w:r>
    </w:p>
    <w:p w14:paraId="3C89C9D8" w14:textId="5697658D" w:rsidR="000312D8" w:rsidRDefault="000312D8" w:rsidP="00004CE8">
      <w:pPr>
        <w:overflowPunct w:val="0"/>
        <w:autoSpaceDE w:val="0"/>
        <w:autoSpaceDN w:val="0"/>
        <w:adjustRightInd w:val="0"/>
        <w:spacing w:after="0"/>
        <w:textAlignment w:val="baseline"/>
        <w:rPr>
          <w:rFonts w:ascii="Times New Roman" w:hAnsi="Times New Roman" w:cs="Times New Roman"/>
          <w:sz w:val="20"/>
          <w:szCs w:val="20"/>
        </w:rPr>
      </w:pPr>
      <w:r w:rsidRPr="000312D8">
        <w:rPr>
          <w:rFonts w:ascii="Times New Roman" w:eastAsia="SimSun" w:hAnsi="Times New Roman" w:cs="Times New Roman"/>
          <w:sz w:val="20"/>
          <w:szCs w:val="20"/>
          <w:lang w:eastAsia="zh-CN" w:bidi="ar"/>
        </w:rPr>
        <w:t>For PDCCH monitoring adaptation case 1, support at most M = 3 for PDCCH skipping with 2 bits indication.</w:t>
      </w:r>
    </w:p>
    <w:p w14:paraId="091FA672" w14:textId="77777777" w:rsidR="00004CE8" w:rsidRPr="00004CE8" w:rsidRDefault="00004CE8" w:rsidP="00004CE8">
      <w:pPr>
        <w:overflowPunct w:val="0"/>
        <w:autoSpaceDE w:val="0"/>
        <w:autoSpaceDN w:val="0"/>
        <w:adjustRightInd w:val="0"/>
        <w:spacing w:after="0"/>
        <w:textAlignment w:val="baseline"/>
        <w:rPr>
          <w:rFonts w:ascii="Times New Roman" w:hAnsi="Times New Roman" w:cs="Times New Roman"/>
          <w:sz w:val="20"/>
          <w:szCs w:val="20"/>
        </w:rPr>
      </w:pPr>
    </w:p>
    <w:p w14:paraId="0D113EB3" w14:textId="77777777" w:rsidR="000312D8" w:rsidRPr="000312D8" w:rsidRDefault="000312D8" w:rsidP="00004CE8">
      <w:pPr>
        <w:spacing w:after="0"/>
        <w:rPr>
          <w:rFonts w:ascii="Times New Roman" w:eastAsia="SimSun" w:hAnsi="Times New Roman" w:cs="Times New Roman"/>
          <w:sz w:val="20"/>
          <w:szCs w:val="20"/>
          <w:highlight w:val="green"/>
          <w:lang w:eastAsia="zh-CN" w:bidi="ar"/>
        </w:rPr>
      </w:pPr>
      <w:r w:rsidRPr="000312D8">
        <w:rPr>
          <w:rFonts w:ascii="Times New Roman" w:eastAsia="SimSun" w:hAnsi="Times New Roman" w:cs="Times New Roman"/>
          <w:sz w:val="20"/>
          <w:szCs w:val="20"/>
          <w:highlight w:val="green"/>
          <w:lang w:eastAsia="zh-CN" w:bidi="ar"/>
        </w:rPr>
        <w:t>Agreement</w:t>
      </w:r>
    </w:p>
    <w:p w14:paraId="699EFEF0" w14:textId="77777777" w:rsidR="000312D8" w:rsidRPr="000312D8" w:rsidRDefault="000312D8" w:rsidP="000312D8">
      <w:pPr>
        <w:rPr>
          <w:rFonts w:ascii="Times New Roman" w:eastAsia="DengXian" w:hAnsi="Times New Roman" w:cs="Times New Roman"/>
          <w:sz w:val="20"/>
          <w:szCs w:val="20"/>
          <w:lang w:eastAsia="zh-CN" w:bidi="ar"/>
        </w:rPr>
      </w:pPr>
      <w:r w:rsidRPr="000312D8">
        <w:rPr>
          <w:rFonts w:ascii="Times New Roman" w:eastAsia="SimSun" w:hAnsi="Times New Roman" w:cs="Times New Roman"/>
          <w:sz w:val="20"/>
          <w:szCs w:val="20"/>
          <w:lang w:eastAsia="zh-CN" w:bidi="ar"/>
        </w:rPr>
        <w:t>The configuration of PDCCH monitoring adaptation is common for DCI format x-1 and x-2</w:t>
      </w:r>
      <w:r w:rsidRPr="000312D8">
        <w:rPr>
          <w:rFonts w:ascii="Times New Roman" w:eastAsia="SimSun" w:hAnsi="Times New Roman" w:cs="Times New Roman"/>
          <w:i/>
          <w:sz w:val="20"/>
          <w:szCs w:val="20"/>
          <w:lang w:eastAsia="zh-CN" w:bidi="ar"/>
        </w:rPr>
        <w:t>,</w:t>
      </w:r>
      <w:r w:rsidRPr="000312D8">
        <w:rPr>
          <w:rFonts w:ascii="Times New Roman" w:eastAsia="SimSun" w:hAnsi="Times New Roman" w:cs="Times New Roman"/>
          <w:sz w:val="20"/>
          <w:szCs w:val="20"/>
          <w:lang w:eastAsia="zh-CN" w:bidi="ar"/>
        </w:rPr>
        <w:t xml:space="preserve"> neither Alt 1 nor Alt 2 is agreed,</w:t>
      </w:r>
    </w:p>
    <w:p w14:paraId="13A739F2" w14:textId="77777777" w:rsidR="000312D8" w:rsidRPr="000312D8" w:rsidRDefault="000312D8" w:rsidP="000312D8">
      <w:pPr>
        <w:numPr>
          <w:ilvl w:val="0"/>
          <w:numId w:val="22"/>
        </w:numPr>
        <w:spacing w:after="0" w:line="240" w:lineRule="auto"/>
        <w:rPr>
          <w:rFonts w:ascii="Times New Roman" w:hAnsi="Times New Roman" w:cs="Times New Roman"/>
          <w:sz w:val="20"/>
          <w:szCs w:val="20"/>
        </w:rPr>
      </w:pPr>
      <w:r w:rsidRPr="000312D8">
        <w:rPr>
          <w:rFonts w:ascii="Times New Roman" w:eastAsia="SimSun" w:hAnsi="Times New Roman" w:cs="Times New Roman"/>
          <w:sz w:val="20"/>
          <w:szCs w:val="20"/>
          <w:lang w:eastAsia="zh-CN" w:bidi="ar"/>
        </w:rPr>
        <w:t>Alt 1: Support RRC parameter configured for the PDCCH monitoring adaptation indication field presence/absence in DCI format x-2</w:t>
      </w:r>
      <w:r w:rsidRPr="000312D8">
        <w:rPr>
          <w:rFonts w:ascii="Times New Roman" w:hAnsi="Times New Roman" w:cs="Times New Roman"/>
          <w:sz w:val="20"/>
          <w:szCs w:val="20"/>
          <w:lang w:eastAsia="zh-CN" w:bidi="ar"/>
        </w:rPr>
        <w:t>.</w:t>
      </w:r>
    </w:p>
    <w:p w14:paraId="1166BCF4" w14:textId="77777777" w:rsidR="000312D8" w:rsidRPr="000312D8" w:rsidRDefault="000312D8" w:rsidP="000312D8">
      <w:pPr>
        <w:numPr>
          <w:ilvl w:val="0"/>
          <w:numId w:val="22"/>
        </w:numPr>
        <w:spacing w:after="0" w:line="240" w:lineRule="auto"/>
        <w:jc w:val="both"/>
        <w:rPr>
          <w:rFonts w:ascii="Times New Roman" w:hAnsi="Times New Roman" w:cs="Times New Roman"/>
          <w:sz w:val="20"/>
          <w:szCs w:val="20"/>
        </w:rPr>
      </w:pPr>
      <w:r w:rsidRPr="000312D8">
        <w:rPr>
          <w:rFonts w:ascii="Times New Roman" w:eastAsia="SimSun" w:hAnsi="Times New Roman" w:cs="Times New Roman"/>
          <w:sz w:val="20"/>
          <w:szCs w:val="20"/>
          <w:lang w:eastAsia="zh-CN" w:bidi="ar"/>
        </w:rPr>
        <w:t>Alt 2:  The configuration of PDCCH monitoring adaptation is common for DCI format x-1 and x-2, except skipping duration for DCI format x-2 (i.e., </w:t>
      </w:r>
      <w:r w:rsidRPr="000312D8">
        <w:rPr>
          <w:rFonts w:ascii="Times New Roman" w:eastAsia="SimSun" w:hAnsi="Times New Roman" w:cs="Times New Roman"/>
          <w:i/>
          <w:sz w:val="20"/>
          <w:szCs w:val="20"/>
          <w:lang w:eastAsia="zh-CN" w:bidi="ar"/>
        </w:rPr>
        <w:t>PDCCHSkippingDurationList-r17-x-2</w:t>
      </w:r>
      <w:r w:rsidRPr="000312D8">
        <w:rPr>
          <w:rFonts w:ascii="Times New Roman" w:eastAsia="SimSun" w:hAnsi="Times New Roman" w:cs="Times New Roman"/>
          <w:sz w:val="20"/>
          <w:szCs w:val="20"/>
          <w:lang w:eastAsia="zh-CN" w:bidi="ar"/>
        </w:rPr>
        <w:t> for DCI format x-2). The PDCCH monitoring adaptation indication field for DCI format x-2 is dependent on </w:t>
      </w:r>
      <w:r w:rsidRPr="000312D8">
        <w:rPr>
          <w:rFonts w:ascii="Times New Roman" w:eastAsia="SimSun" w:hAnsi="Times New Roman" w:cs="Times New Roman"/>
          <w:i/>
          <w:sz w:val="20"/>
          <w:szCs w:val="20"/>
          <w:lang w:eastAsia="zh-CN" w:bidi="ar"/>
        </w:rPr>
        <w:t>PDCCHSkippingDurationList-r17-x-2</w:t>
      </w:r>
      <w:r w:rsidRPr="000312D8">
        <w:rPr>
          <w:rFonts w:ascii="Times New Roman" w:eastAsia="SimSun" w:hAnsi="Times New Roman" w:cs="Times New Roman"/>
          <w:sz w:val="20"/>
          <w:szCs w:val="20"/>
          <w:lang w:eastAsia="zh-CN" w:bidi="ar"/>
        </w:rPr>
        <w:t> if configured.</w:t>
      </w:r>
    </w:p>
    <w:p w14:paraId="2D6B8D6C" w14:textId="77777777" w:rsidR="000312D8" w:rsidRPr="000312D8" w:rsidRDefault="000312D8" w:rsidP="000312D8">
      <w:pPr>
        <w:rPr>
          <w:rFonts w:ascii="Times New Roman" w:eastAsia="DengXian" w:hAnsi="Times New Roman" w:cs="Times New Roman"/>
          <w:sz w:val="20"/>
          <w:szCs w:val="20"/>
          <w:lang w:eastAsia="zh-CN" w:bidi="ar"/>
        </w:rPr>
      </w:pPr>
    </w:p>
    <w:p w14:paraId="121D253B" w14:textId="77777777" w:rsidR="000312D8" w:rsidRPr="000312D8" w:rsidRDefault="000312D8" w:rsidP="00912C97">
      <w:pPr>
        <w:spacing w:after="0" w:line="220" w:lineRule="atLeast"/>
        <w:jc w:val="both"/>
        <w:rPr>
          <w:rFonts w:ascii="Times New Roman" w:hAnsi="Times New Roman" w:cs="Times New Roman"/>
          <w:sz w:val="20"/>
          <w:szCs w:val="20"/>
          <w:lang w:eastAsia="zh-CN" w:bidi="ar"/>
        </w:rPr>
      </w:pPr>
      <w:r w:rsidRPr="000312D8">
        <w:rPr>
          <w:rFonts w:ascii="Times New Roman" w:hAnsi="Times New Roman" w:cs="Times New Roman"/>
          <w:sz w:val="20"/>
          <w:szCs w:val="20"/>
          <w:lang w:eastAsia="zh-CN" w:bidi="ar"/>
        </w:rPr>
        <w:t>Conclusion</w:t>
      </w:r>
    </w:p>
    <w:p w14:paraId="552884A9" w14:textId="0BCD0A91" w:rsidR="00B26C28" w:rsidRPr="00912C97" w:rsidRDefault="000312D8" w:rsidP="00912C97">
      <w:pPr>
        <w:spacing w:line="220" w:lineRule="atLeast"/>
        <w:jc w:val="both"/>
        <w:rPr>
          <w:rFonts w:ascii="Times New Roman" w:hAnsi="Times New Roman" w:cs="Times New Roman"/>
          <w:sz w:val="20"/>
          <w:szCs w:val="20"/>
          <w:lang w:val="fi"/>
        </w:rPr>
      </w:pPr>
      <w:r w:rsidRPr="000312D8">
        <w:rPr>
          <w:rFonts w:ascii="Times New Roman" w:eastAsia="SimSun" w:hAnsi="Times New Roman" w:cs="Times New Roman"/>
          <w:sz w:val="20"/>
          <w:szCs w:val="20"/>
          <w:lang w:eastAsia="zh-CN" w:bidi="ar"/>
        </w:rPr>
        <w:t>No consensus to introduce non-scheduling DCI based PDCCH monitoring adaptation for Rel-17.</w:t>
      </w:r>
    </w:p>
    <w:sectPr w:rsidR="00B26C28" w:rsidRPr="00912C97"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2D01D" w14:textId="77777777" w:rsidR="00DA69B9" w:rsidRDefault="00DA69B9">
      <w:r>
        <w:separator/>
      </w:r>
    </w:p>
  </w:endnote>
  <w:endnote w:type="continuationSeparator" w:id="0">
    <w:p w14:paraId="5152FE61" w14:textId="77777777" w:rsidR="00DA69B9" w:rsidRDefault="00DA69B9">
      <w:r>
        <w:continuationSeparator/>
      </w:r>
    </w:p>
  </w:endnote>
  <w:endnote w:type="continuationNotice" w:id="1">
    <w:p w14:paraId="299D30D3" w14:textId="77777777" w:rsidR="00DA69B9" w:rsidRDefault="00DA6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badi">
    <w:charset w:val="00"/>
    <w:family w:val="swiss"/>
    <w:pitch w:val="variable"/>
    <w:sig w:usb0="8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F5043B" w:rsidRDefault="00F504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E836" w14:textId="77777777" w:rsidR="00DA69B9" w:rsidRDefault="00DA69B9">
      <w:r>
        <w:separator/>
      </w:r>
    </w:p>
  </w:footnote>
  <w:footnote w:type="continuationSeparator" w:id="0">
    <w:p w14:paraId="54945172" w14:textId="77777777" w:rsidR="00DA69B9" w:rsidRDefault="00DA69B9">
      <w:r>
        <w:continuationSeparator/>
      </w:r>
    </w:p>
  </w:footnote>
  <w:footnote w:type="continuationNotice" w:id="1">
    <w:p w14:paraId="404EBD27" w14:textId="77777777" w:rsidR="00DA69B9" w:rsidRDefault="00DA69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F5043B" w:rsidRDefault="00F504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52FD7"/>
    <w:multiLevelType w:val="hybridMultilevel"/>
    <w:tmpl w:val="EE4EE938"/>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3179E"/>
    <w:multiLevelType w:val="hybridMultilevel"/>
    <w:tmpl w:val="380C9A42"/>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919A5"/>
    <w:multiLevelType w:val="hybridMultilevel"/>
    <w:tmpl w:val="2A58D050"/>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FAB22336"/>
    <w:lvl w:ilvl="0" w:tplc="37EEFD50">
      <w:start w:val="1"/>
      <w:numFmt w:val="decimal"/>
      <w:pStyle w:val="Proposal"/>
      <w:lvlText w:val="Proposal %1"/>
      <w:lvlJc w:val="left"/>
      <w:pPr>
        <w:tabs>
          <w:tab w:val="num" w:pos="1304"/>
        </w:tabs>
        <w:ind w:left="1304" w:hanging="1304"/>
      </w:pPr>
      <w:rPr>
        <w:rFonts w:hint="default"/>
        <w:sz w:val="22"/>
        <w:szCs w:val="22"/>
      </w:rPr>
    </w:lvl>
    <w:lvl w:ilvl="1" w:tplc="54F25A1A">
      <w:start w:val="1"/>
      <w:numFmt w:val="bullet"/>
      <w:lvlText w:val="-"/>
      <w:lvlJc w:val="left"/>
      <w:pPr>
        <w:tabs>
          <w:tab w:val="num" w:pos="1440"/>
        </w:tabs>
        <w:ind w:left="1440" w:hanging="360"/>
      </w:pPr>
      <w:rPr>
        <w:rFonts w:ascii="Abadi" w:hAnsi="Abad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8"/>
  </w:num>
  <w:num w:numId="7">
    <w:abstractNumId w:val="5"/>
  </w:num>
  <w:num w:numId="8">
    <w:abstractNumId w:val="7"/>
  </w:num>
  <w:num w:numId="9">
    <w:abstractNumId w:val="3"/>
  </w:num>
  <w:num w:numId="10">
    <w:abstractNumId w:val="21"/>
  </w:num>
  <w:num w:numId="11">
    <w:abstractNumId w:val="9"/>
  </w:num>
  <w:num w:numId="12">
    <w:abstractNumId w:val="20"/>
  </w:num>
  <w:num w:numId="13">
    <w:abstractNumId w:val="17"/>
  </w:num>
  <w:num w:numId="14">
    <w:abstractNumId w:val="2"/>
  </w:num>
  <w:num w:numId="15">
    <w:abstractNumId w:val="19"/>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8"/>
  </w:num>
  <w:num w:numId="20">
    <w:abstractNumId w:val="13"/>
  </w:num>
  <w:num w:numId="21">
    <w:abstractNumId w:val="10"/>
  </w:num>
  <w:num w:numId="22">
    <w:abstractNumId w:val="11"/>
  </w:num>
  <w:num w:numId="2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A1"/>
    <w:rsid w:val="000006E1"/>
    <w:rsid w:val="000011D8"/>
    <w:rsid w:val="000024D9"/>
    <w:rsid w:val="00002A37"/>
    <w:rsid w:val="00004CE8"/>
    <w:rsid w:val="0000564C"/>
    <w:rsid w:val="000061D0"/>
    <w:rsid w:val="00006446"/>
    <w:rsid w:val="00006896"/>
    <w:rsid w:val="00007CDC"/>
    <w:rsid w:val="00010D1B"/>
    <w:rsid w:val="00011B28"/>
    <w:rsid w:val="00015D15"/>
    <w:rsid w:val="00017D1F"/>
    <w:rsid w:val="0002203A"/>
    <w:rsid w:val="000226E2"/>
    <w:rsid w:val="0002564D"/>
    <w:rsid w:val="00025ECA"/>
    <w:rsid w:val="0002615D"/>
    <w:rsid w:val="00027C77"/>
    <w:rsid w:val="000312D8"/>
    <w:rsid w:val="000315BC"/>
    <w:rsid w:val="00031D90"/>
    <w:rsid w:val="000325B8"/>
    <w:rsid w:val="000329DC"/>
    <w:rsid w:val="00032E3B"/>
    <w:rsid w:val="00034C15"/>
    <w:rsid w:val="00036BA1"/>
    <w:rsid w:val="0003730C"/>
    <w:rsid w:val="00037C92"/>
    <w:rsid w:val="000406B4"/>
    <w:rsid w:val="00040726"/>
    <w:rsid w:val="00040B0D"/>
    <w:rsid w:val="000422E2"/>
    <w:rsid w:val="00042F22"/>
    <w:rsid w:val="000444EF"/>
    <w:rsid w:val="00046472"/>
    <w:rsid w:val="00052A07"/>
    <w:rsid w:val="00052A5C"/>
    <w:rsid w:val="00053033"/>
    <w:rsid w:val="000531E0"/>
    <w:rsid w:val="000534E3"/>
    <w:rsid w:val="0005606A"/>
    <w:rsid w:val="00057117"/>
    <w:rsid w:val="000578A2"/>
    <w:rsid w:val="00057F59"/>
    <w:rsid w:val="00060137"/>
    <w:rsid w:val="000616E7"/>
    <w:rsid w:val="0006487E"/>
    <w:rsid w:val="00065C8D"/>
    <w:rsid w:val="00065E1A"/>
    <w:rsid w:val="00066A44"/>
    <w:rsid w:val="000672F6"/>
    <w:rsid w:val="000675D2"/>
    <w:rsid w:val="00067BB4"/>
    <w:rsid w:val="000709EA"/>
    <w:rsid w:val="00070CE1"/>
    <w:rsid w:val="0007257D"/>
    <w:rsid w:val="00077E5F"/>
    <w:rsid w:val="0008036A"/>
    <w:rsid w:val="0008109B"/>
    <w:rsid w:val="00081AE6"/>
    <w:rsid w:val="00081C2C"/>
    <w:rsid w:val="00082EE9"/>
    <w:rsid w:val="00082FD3"/>
    <w:rsid w:val="000840D9"/>
    <w:rsid w:val="00084477"/>
    <w:rsid w:val="000854CD"/>
    <w:rsid w:val="000855EB"/>
    <w:rsid w:val="00085971"/>
    <w:rsid w:val="00085B52"/>
    <w:rsid w:val="00085E96"/>
    <w:rsid w:val="000866F2"/>
    <w:rsid w:val="00087F3B"/>
    <w:rsid w:val="0009009F"/>
    <w:rsid w:val="00090665"/>
    <w:rsid w:val="00091557"/>
    <w:rsid w:val="000916B4"/>
    <w:rsid w:val="000924C1"/>
    <w:rsid w:val="000924F0"/>
    <w:rsid w:val="00092745"/>
    <w:rsid w:val="00093474"/>
    <w:rsid w:val="0009510F"/>
    <w:rsid w:val="00095CCA"/>
    <w:rsid w:val="000A03A1"/>
    <w:rsid w:val="000A0AB8"/>
    <w:rsid w:val="000A0DB2"/>
    <w:rsid w:val="000A1B7B"/>
    <w:rsid w:val="000A1C26"/>
    <w:rsid w:val="000A37D1"/>
    <w:rsid w:val="000A495A"/>
    <w:rsid w:val="000A56F2"/>
    <w:rsid w:val="000B0FBA"/>
    <w:rsid w:val="000B2719"/>
    <w:rsid w:val="000B2C17"/>
    <w:rsid w:val="000B3A8F"/>
    <w:rsid w:val="000B3EBD"/>
    <w:rsid w:val="000B4AB9"/>
    <w:rsid w:val="000B58C3"/>
    <w:rsid w:val="000B61E9"/>
    <w:rsid w:val="000B6842"/>
    <w:rsid w:val="000C165A"/>
    <w:rsid w:val="000C20CF"/>
    <w:rsid w:val="000C2E19"/>
    <w:rsid w:val="000C43D3"/>
    <w:rsid w:val="000C4ABF"/>
    <w:rsid w:val="000C6B03"/>
    <w:rsid w:val="000D0D07"/>
    <w:rsid w:val="000D396D"/>
    <w:rsid w:val="000D3A57"/>
    <w:rsid w:val="000D4797"/>
    <w:rsid w:val="000E0097"/>
    <w:rsid w:val="000E0527"/>
    <w:rsid w:val="000E0C7D"/>
    <w:rsid w:val="000E1E92"/>
    <w:rsid w:val="000E3DEC"/>
    <w:rsid w:val="000E74E9"/>
    <w:rsid w:val="000F06D6"/>
    <w:rsid w:val="000F0944"/>
    <w:rsid w:val="000F0EB1"/>
    <w:rsid w:val="000F1106"/>
    <w:rsid w:val="000F1674"/>
    <w:rsid w:val="000F3BE9"/>
    <w:rsid w:val="000F3D76"/>
    <w:rsid w:val="000F3DD1"/>
    <w:rsid w:val="000F3F6C"/>
    <w:rsid w:val="000F4A9D"/>
    <w:rsid w:val="000F6DF3"/>
    <w:rsid w:val="001005FF"/>
    <w:rsid w:val="001011D9"/>
    <w:rsid w:val="001033B8"/>
    <w:rsid w:val="00103D1F"/>
    <w:rsid w:val="001062FB"/>
    <w:rsid w:val="001063E6"/>
    <w:rsid w:val="00111391"/>
    <w:rsid w:val="00113CF4"/>
    <w:rsid w:val="001153EA"/>
    <w:rsid w:val="00115643"/>
    <w:rsid w:val="0011596E"/>
    <w:rsid w:val="00116016"/>
    <w:rsid w:val="00116715"/>
    <w:rsid w:val="00116765"/>
    <w:rsid w:val="001219F5"/>
    <w:rsid w:val="00121A20"/>
    <w:rsid w:val="0012377F"/>
    <w:rsid w:val="00124314"/>
    <w:rsid w:val="00126B4A"/>
    <w:rsid w:val="00132FD0"/>
    <w:rsid w:val="001344C0"/>
    <w:rsid w:val="001346FA"/>
    <w:rsid w:val="00135252"/>
    <w:rsid w:val="00137AB5"/>
    <w:rsid w:val="00137F0B"/>
    <w:rsid w:val="00140259"/>
    <w:rsid w:val="00140698"/>
    <w:rsid w:val="0014096D"/>
    <w:rsid w:val="001425CB"/>
    <w:rsid w:val="00145B6F"/>
    <w:rsid w:val="00151E23"/>
    <w:rsid w:val="001526E0"/>
    <w:rsid w:val="0015413E"/>
    <w:rsid w:val="00154255"/>
    <w:rsid w:val="00154B2D"/>
    <w:rsid w:val="001551B5"/>
    <w:rsid w:val="001569A1"/>
    <w:rsid w:val="0016200C"/>
    <w:rsid w:val="001659C1"/>
    <w:rsid w:val="00166398"/>
    <w:rsid w:val="00166688"/>
    <w:rsid w:val="00166798"/>
    <w:rsid w:val="00172326"/>
    <w:rsid w:val="00173155"/>
    <w:rsid w:val="00173A8E"/>
    <w:rsid w:val="00174929"/>
    <w:rsid w:val="00174B8D"/>
    <w:rsid w:val="0017502C"/>
    <w:rsid w:val="001804B6"/>
    <w:rsid w:val="00180BBA"/>
    <w:rsid w:val="0018143F"/>
    <w:rsid w:val="00181FF8"/>
    <w:rsid w:val="001830B8"/>
    <w:rsid w:val="0018405A"/>
    <w:rsid w:val="001864BB"/>
    <w:rsid w:val="00187B04"/>
    <w:rsid w:val="00190AC1"/>
    <w:rsid w:val="00193193"/>
    <w:rsid w:val="0019341A"/>
    <w:rsid w:val="0019705D"/>
    <w:rsid w:val="00197DF9"/>
    <w:rsid w:val="001A1987"/>
    <w:rsid w:val="001A1C27"/>
    <w:rsid w:val="001A2564"/>
    <w:rsid w:val="001A5088"/>
    <w:rsid w:val="001A6173"/>
    <w:rsid w:val="001A6CBA"/>
    <w:rsid w:val="001B0D97"/>
    <w:rsid w:val="001B2CE1"/>
    <w:rsid w:val="001B30B7"/>
    <w:rsid w:val="001B3799"/>
    <w:rsid w:val="001B402D"/>
    <w:rsid w:val="001B4C3B"/>
    <w:rsid w:val="001B4EDE"/>
    <w:rsid w:val="001B5A5D"/>
    <w:rsid w:val="001C1A4D"/>
    <w:rsid w:val="001C1CE5"/>
    <w:rsid w:val="001C2CBA"/>
    <w:rsid w:val="001C3D2A"/>
    <w:rsid w:val="001C726E"/>
    <w:rsid w:val="001D39F1"/>
    <w:rsid w:val="001D51BA"/>
    <w:rsid w:val="001D53E7"/>
    <w:rsid w:val="001D6342"/>
    <w:rsid w:val="001D6D53"/>
    <w:rsid w:val="001E00E5"/>
    <w:rsid w:val="001E1105"/>
    <w:rsid w:val="001E58E2"/>
    <w:rsid w:val="001E67F4"/>
    <w:rsid w:val="001E69F2"/>
    <w:rsid w:val="001E7AED"/>
    <w:rsid w:val="001E7D31"/>
    <w:rsid w:val="001F3916"/>
    <w:rsid w:val="001F413F"/>
    <w:rsid w:val="001F54C5"/>
    <w:rsid w:val="001F662C"/>
    <w:rsid w:val="001F6803"/>
    <w:rsid w:val="001F7074"/>
    <w:rsid w:val="00200490"/>
    <w:rsid w:val="00200C29"/>
    <w:rsid w:val="00200D74"/>
    <w:rsid w:val="00201F3A"/>
    <w:rsid w:val="00203F96"/>
    <w:rsid w:val="0020473F"/>
    <w:rsid w:val="002069B2"/>
    <w:rsid w:val="00207FA3"/>
    <w:rsid w:val="0021047C"/>
    <w:rsid w:val="00210EC4"/>
    <w:rsid w:val="00214DA8"/>
    <w:rsid w:val="00215423"/>
    <w:rsid w:val="002158FA"/>
    <w:rsid w:val="002179EA"/>
    <w:rsid w:val="00220600"/>
    <w:rsid w:val="00221F30"/>
    <w:rsid w:val="002224DB"/>
    <w:rsid w:val="002227D2"/>
    <w:rsid w:val="00223FCB"/>
    <w:rsid w:val="002252C3"/>
    <w:rsid w:val="00225C54"/>
    <w:rsid w:val="00230765"/>
    <w:rsid w:val="00230D18"/>
    <w:rsid w:val="002319E4"/>
    <w:rsid w:val="002339BD"/>
    <w:rsid w:val="0023504C"/>
    <w:rsid w:val="00235632"/>
    <w:rsid w:val="00235872"/>
    <w:rsid w:val="00237C0F"/>
    <w:rsid w:val="00241559"/>
    <w:rsid w:val="002435B3"/>
    <w:rsid w:val="002458EB"/>
    <w:rsid w:val="00246CE2"/>
    <w:rsid w:val="002500C8"/>
    <w:rsid w:val="00251D4D"/>
    <w:rsid w:val="0025466E"/>
    <w:rsid w:val="00255108"/>
    <w:rsid w:val="00257543"/>
    <w:rsid w:val="00260D12"/>
    <w:rsid w:val="002617E7"/>
    <w:rsid w:val="00263E03"/>
    <w:rsid w:val="00264228"/>
    <w:rsid w:val="00264334"/>
    <w:rsid w:val="0026473E"/>
    <w:rsid w:val="00266214"/>
    <w:rsid w:val="00267A9A"/>
    <w:rsid w:val="00267C83"/>
    <w:rsid w:val="0027144F"/>
    <w:rsid w:val="00271813"/>
    <w:rsid w:val="00271BD7"/>
    <w:rsid w:val="00271D47"/>
    <w:rsid w:val="00271F3A"/>
    <w:rsid w:val="00272563"/>
    <w:rsid w:val="00273278"/>
    <w:rsid w:val="002737F4"/>
    <w:rsid w:val="002751C5"/>
    <w:rsid w:val="00275D6C"/>
    <w:rsid w:val="00276402"/>
    <w:rsid w:val="002805F5"/>
    <w:rsid w:val="00280751"/>
    <w:rsid w:val="00280965"/>
    <w:rsid w:val="00281F9D"/>
    <w:rsid w:val="0028280A"/>
    <w:rsid w:val="00286ACD"/>
    <w:rsid w:val="00286D10"/>
    <w:rsid w:val="00287838"/>
    <w:rsid w:val="002907B5"/>
    <w:rsid w:val="002910DE"/>
    <w:rsid w:val="00291559"/>
    <w:rsid w:val="00292EB7"/>
    <w:rsid w:val="00296227"/>
    <w:rsid w:val="00296F44"/>
    <w:rsid w:val="0029777D"/>
    <w:rsid w:val="002A055E"/>
    <w:rsid w:val="002A1D4E"/>
    <w:rsid w:val="002A2869"/>
    <w:rsid w:val="002A390F"/>
    <w:rsid w:val="002B24D6"/>
    <w:rsid w:val="002B39DD"/>
    <w:rsid w:val="002C1B64"/>
    <w:rsid w:val="002C1C98"/>
    <w:rsid w:val="002C3A3E"/>
    <w:rsid w:val="002C41E6"/>
    <w:rsid w:val="002C69C2"/>
    <w:rsid w:val="002C6C20"/>
    <w:rsid w:val="002D071A"/>
    <w:rsid w:val="002D1E0C"/>
    <w:rsid w:val="002D34B2"/>
    <w:rsid w:val="002D4670"/>
    <w:rsid w:val="002D48B0"/>
    <w:rsid w:val="002D5B37"/>
    <w:rsid w:val="002D6451"/>
    <w:rsid w:val="002D6B7A"/>
    <w:rsid w:val="002D7637"/>
    <w:rsid w:val="002D7784"/>
    <w:rsid w:val="002E17F2"/>
    <w:rsid w:val="002E52DF"/>
    <w:rsid w:val="002E5D16"/>
    <w:rsid w:val="002E5E84"/>
    <w:rsid w:val="002E7CAE"/>
    <w:rsid w:val="002F0ED7"/>
    <w:rsid w:val="002F2045"/>
    <w:rsid w:val="002F2771"/>
    <w:rsid w:val="002F3525"/>
    <w:rsid w:val="002F37A9"/>
    <w:rsid w:val="002F3FAA"/>
    <w:rsid w:val="00300522"/>
    <w:rsid w:val="0030160D"/>
    <w:rsid w:val="00301CE6"/>
    <w:rsid w:val="0030256B"/>
    <w:rsid w:val="003038C2"/>
    <w:rsid w:val="0030501F"/>
    <w:rsid w:val="00305C15"/>
    <w:rsid w:val="00305C55"/>
    <w:rsid w:val="00306712"/>
    <w:rsid w:val="00307BA1"/>
    <w:rsid w:val="00307C58"/>
    <w:rsid w:val="00311702"/>
    <w:rsid w:val="00311B9B"/>
    <w:rsid w:val="00311E82"/>
    <w:rsid w:val="00312A06"/>
    <w:rsid w:val="00313FD6"/>
    <w:rsid w:val="003143BD"/>
    <w:rsid w:val="00315363"/>
    <w:rsid w:val="00315A44"/>
    <w:rsid w:val="00315BAC"/>
    <w:rsid w:val="00315BBD"/>
    <w:rsid w:val="00315CBD"/>
    <w:rsid w:val="00315FA3"/>
    <w:rsid w:val="00317C62"/>
    <w:rsid w:val="003203ED"/>
    <w:rsid w:val="00320B47"/>
    <w:rsid w:val="00321E8E"/>
    <w:rsid w:val="0032224B"/>
    <w:rsid w:val="00322C9F"/>
    <w:rsid w:val="00324D23"/>
    <w:rsid w:val="00325045"/>
    <w:rsid w:val="00327151"/>
    <w:rsid w:val="0032778B"/>
    <w:rsid w:val="00331751"/>
    <w:rsid w:val="00331E66"/>
    <w:rsid w:val="00333F28"/>
    <w:rsid w:val="00334579"/>
    <w:rsid w:val="00335858"/>
    <w:rsid w:val="00336BDA"/>
    <w:rsid w:val="00342BD7"/>
    <w:rsid w:val="00342BF9"/>
    <w:rsid w:val="00344F6B"/>
    <w:rsid w:val="00346DB5"/>
    <w:rsid w:val="003477B1"/>
    <w:rsid w:val="00357380"/>
    <w:rsid w:val="00357413"/>
    <w:rsid w:val="003602D9"/>
    <w:rsid w:val="003604CE"/>
    <w:rsid w:val="00360654"/>
    <w:rsid w:val="00365127"/>
    <w:rsid w:val="00367504"/>
    <w:rsid w:val="0036785D"/>
    <w:rsid w:val="00370E47"/>
    <w:rsid w:val="00374063"/>
    <w:rsid w:val="003742AC"/>
    <w:rsid w:val="00377117"/>
    <w:rsid w:val="00377CE1"/>
    <w:rsid w:val="00381CEC"/>
    <w:rsid w:val="00382A6A"/>
    <w:rsid w:val="00385BF0"/>
    <w:rsid w:val="003877F6"/>
    <w:rsid w:val="003937AE"/>
    <w:rsid w:val="003939FF"/>
    <w:rsid w:val="00394BBB"/>
    <w:rsid w:val="003951A6"/>
    <w:rsid w:val="003A1CBA"/>
    <w:rsid w:val="003A2223"/>
    <w:rsid w:val="003A2A0F"/>
    <w:rsid w:val="003A3224"/>
    <w:rsid w:val="003A3C8C"/>
    <w:rsid w:val="003A3E66"/>
    <w:rsid w:val="003A45A1"/>
    <w:rsid w:val="003A4BFC"/>
    <w:rsid w:val="003A5B0A"/>
    <w:rsid w:val="003A6BAC"/>
    <w:rsid w:val="003A70A4"/>
    <w:rsid w:val="003A7EF3"/>
    <w:rsid w:val="003B159C"/>
    <w:rsid w:val="003B2709"/>
    <w:rsid w:val="003B369F"/>
    <w:rsid w:val="003B36A3"/>
    <w:rsid w:val="003B3BCC"/>
    <w:rsid w:val="003B53B6"/>
    <w:rsid w:val="003B5470"/>
    <w:rsid w:val="003B64BB"/>
    <w:rsid w:val="003B78AB"/>
    <w:rsid w:val="003B7FE5"/>
    <w:rsid w:val="003C11C8"/>
    <w:rsid w:val="003C2702"/>
    <w:rsid w:val="003C6466"/>
    <w:rsid w:val="003C7806"/>
    <w:rsid w:val="003C7932"/>
    <w:rsid w:val="003D109F"/>
    <w:rsid w:val="003D2478"/>
    <w:rsid w:val="003D3C45"/>
    <w:rsid w:val="003D5B1F"/>
    <w:rsid w:val="003D62E9"/>
    <w:rsid w:val="003E0F22"/>
    <w:rsid w:val="003E15FA"/>
    <w:rsid w:val="003E2706"/>
    <w:rsid w:val="003E41AE"/>
    <w:rsid w:val="003E55E4"/>
    <w:rsid w:val="003E69FB"/>
    <w:rsid w:val="003E6A86"/>
    <w:rsid w:val="003E74E3"/>
    <w:rsid w:val="003F05C7"/>
    <w:rsid w:val="003F0646"/>
    <w:rsid w:val="003F14AE"/>
    <w:rsid w:val="003F2CD4"/>
    <w:rsid w:val="003F5F2D"/>
    <w:rsid w:val="003F618C"/>
    <w:rsid w:val="003F6BBE"/>
    <w:rsid w:val="003F7459"/>
    <w:rsid w:val="0040000E"/>
    <w:rsid w:val="004000AB"/>
    <w:rsid w:val="004000E8"/>
    <w:rsid w:val="0040012F"/>
    <w:rsid w:val="00402404"/>
    <w:rsid w:val="00402E2B"/>
    <w:rsid w:val="00403808"/>
    <w:rsid w:val="0040512B"/>
    <w:rsid w:val="00405133"/>
    <w:rsid w:val="0040573E"/>
    <w:rsid w:val="004059B0"/>
    <w:rsid w:val="00405CA5"/>
    <w:rsid w:val="00407509"/>
    <w:rsid w:val="00407610"/>
    <w:rsid w:val="00407CD3"/>
    <w:rsid w:val="00410134"/>
    <w:rsid w:val="004105CD"/>
    <w:rsid w:val="00410B33"/>
    <w:rsid w:val="00410B72"/>
    <w:rsid w:val="00410EB4"/>
    <w:rsid w:val="00410F18"/>
    <w:rsid w:val="00411B40"/>
    <w:rsid w:val="0041263E"/>
    <w:rsid w:val="00413AAC"/>
    <w:rsid w:val="00413C81"/>
    <w:rsid w:val="00413E92"/>
    <w:rsid w:val="00421105"/>
    <w:rsid w:val="00421DD8"/>
    <w:rsid w:val="00422AA4"/>
    <w:rsid w:val="004242F4"/>
    <w:rsid w:val="0042475A"/>
    <w:rsid w:val="004253EE"/>
    <w:rsid w:val="004269CC"/>
    <w:rsid w:val="00427248"/>
    <w:rsid w:val="00431EF9"/>
    <w:rsid w:val="00436540"/>
    <w:rsid w:val="00437447"/>
    <w:rsid w:val="00441A92"/>
    <w:rsid w:val="004430BC"/>
    <w:rsid w:val="004431DC"/>
    <w:rsid w:val="00444AA5"/>
    <w:rsid w:val="00444F56"/>
    <w:rsid w:val="00446020"/>
    <w:rsid w:val="00446488"/>
    <w:rsid w:val="004517AA"/>
    <w:rsid w:val="004522ED"/>
    <w:rsid w:val="00452CAC"/>
    <w:rsid w:val="00453323"/>
    <w:rsid w:val="00456CA2"/>
    <w:rsid w:val="00457565"/>
    <w:rsid w:val="00457B71"/>
    <w:rsid w:val="004608C3"/>
    <w:rsid w:val="00460B93"/>
    <w:rsid w:val="0046156A"/>
    <w:rsid w:val="004628A5"/>
    <w:rsid w:val="004666DC"/>
    <w:rsid w:val="004669E2"/>
    <w:rsid w:val="00467D0C"/>
    <w:rsid w:val="00470C31"/>
    <w:rsid w:val="00471DE0"/>
    <w:rsid w:val="0047339F"/>
    <w:rsid w:val="004734D0"/>
    <w:rsid w:val="0047556B"/>
    <w:rsid w:val="00475ECD"/>
    <w:rsid w:val="00477768"/>
    <w:rsid w:val="00480142"/>
    <w:rsid w:val="0048071B"/>
    <w:rsid w:val="00486ADE"/>
    <w:rsid w:val="0048769F"/>
    <w:rsid w:val="00492BC5"/>
    <w:rsid w:val="00492F9A"/>
    <w:rsid w:val="004938C9"/>
    <w:rsid w:val="00495A9A"/>
    <w:rsid w:val="00495D52"/>
    <w:rsid w:val="004964F1"/>
    <w:rsid w:val="004A16BC"/>
    <w:rsid w:val="004A2315"/>
    <w:rsid w:val="004A2B94"/>
    <w:rsid w:val="004A5D31"/>
    <w:rsid w:val="004A7CFC"/>
    <w:rsid w:val="004B258F"/>
    <w:rsid w:val="004B3EF4"/>
    <w:rsid w:val="004B45BE"/>
    <w:rsid w:val="004B4ED5"/>
    <w:rsid w:val="004B6F6A"/>
    <w:rsid w:val="004B7C0C"/>
    <w:rsid w:val="004C3898"/>
    <w:rsid w:val="004C7C06"/>
    <w:rsid w:val="004D30D7"/>
    <w:rsid w:val="004D355B"/>
    <w:rsid w:val="004D36B1"/>
    <w:rsid w:val="004D61E0"/>
    <w:rsid w:val="004D7EBD"/>
    <w:rsid w:val="004E0A82"/>
    <w:rsid w:val="004E1B5C"/>
    <w:rsid w:val="004E2680"/>
    <w:rsid w:val="004E28F9"/>
    <w:rsid w:val="004E462E"/>
    <w:rsid w:val="004E56DC"/>
    <w:rsid w:val="004E76F4"/>
    <w:rsid w:val="004F0B4E"/>
    <w:rsid w:val="004F0B6C"/>
    <w:rsid w:val="004F179E"/>
    <w:rsid w:val="004F2078"/>
    <w:rsid w:val="004F4DA3"/>
    <w:rsid w:val="004F7D0A"/>
    <w:rsid w:val="005023A5"/>
    <w:rsid w:val="0050544E"/>
    <w:rsid w:val="00506557"/>
    <w:rsid w:val="0050677A"/>
    <w:rsid w:val="005108D8"/>
    <w:rsid w:val="005116F9"/>
    <w:rsid w:val="00511BA8"/>
    <w:rsid w:val="005125A6"/>
    <w:rsid w:val="00512D3C"/>
    <w:rsid w:val="00514599"/>
    <w:rsid w:val="00514A1E"/>
    <w:rsid w:val="00514C8B"/>
    <w:rsid w:val="005153A7"/>
    <w:rsid w:val="0052102F"/>
    <w:rsid w:val="005219CF"/>
    <w:rsid w:val="0053109D"/>
    <w:rsid w:val="00531AB9"/>
    <w:rsid w:val="00532A69"/>
    <w:rsid w:val="00534B59"/>
    <w:rsid w:val="005350D4"/>
    <w:rsid w:val="00536759"/>
    <w:rsid w:val="00536E7A"/>
    <w:rsid w:val="00537C62"/>
    <w:rsid w:val="00537E35"/>
    <w:rsid w:val="00541165"/>
    <w:rsid w:val="005423B0"/>
    <w:rsid w:val="00544209"/>
    <w:rsid w:val="00546970"/>
    <w:rsid w:val="00547DA9"/>
    <w:rsid w:val="00550751"/>
    <w:rsid w:val="00551855"/>
    <w:rsid w:val="00554E19"/>
    <w:rsid w:val="005550B9"/>
    <w:rsid w:val="0055706C"/>
    <w:rsid w:val="0056121F"/>
    <w:rsid w:val="00563B3E"/>
    <w:rsid w:val="005653F6"/>
    <w:rsid w:val="005716B8"/>
    <w:rsid w:val="00571DFA"/>
    <w:rsid w:val="00572505"/>
    <w:rsid w:val="00572869"/>
    <w:rsid w:val="00572B3C"/>
    <w:rsid w:val="0058004B"/>
    <w:rsid w:val="00580087"/>
    <w:rsid w:val="00582809"/>
    <w:rsid w:val="00583E9A"/>
    <w:rsid w:val="00586B02"/>
    <w:rsid w:val="0058798C"/>
    <w:rsid w:val="005879E4"/>
    <w:rsid w:val="005900FA"/>
    <w:rsid w:val="00590AF4"/>
    <w:rsid w:val="0059325C"/>
    <w:rsid w:val="005935A4"/>
    <w:rsid w:val="005948C2"/>
    <w:rsid w:val="00595DCA"/>
    <w:rsid w:val="00597744"/>
    <w:rsid w:val="0059779B"/>
    <w:rsid w:val="00597B36"/>
    <w:rsid w:val="005A209A"/>
    <w:rsid w:val="005A662D"/>
    <w:rsid w:val="005A7D19"/>
    <w:rsid w:val="005B0E02"/>
    <w:rsid w:val="005B1245"/>
    <w:rsid w:val="005B1409"/>
    <w:rsid w:val="005B35D7"/>
    <w:rsid w:val="005B392A"/>
    <w:rsid w:val="005B3AA3"/>
    <w:rsid w:val="005B6F83"/>
    <w:rsid w:val="005C1187"/>
    <w:rsid w:val="005C15C3"/>
    <w:rsid w:val="005C1B23"/>
    <w:rsid w:val="005C60ED"/>
    <w:rsid w:val="005C74FB"/>
    <w:rsid w:val="005D0822"/>
    <w:rsid w:val="005D1602"/>
    <w:rsid w:val="005D2C6B"/>
    <w:rsid w:val="005D2CD8"/>
    <w:rsid w:val="005D4982"/>
    <w:rsid w:val="005D5D76"/>
    <w:rsid w:val="005D75F0"/>
    <w:rsid w:val="005E3298"/>
    <w:rsid w:val="005E385F"/>
    <w:rsid w:val="005E5B81"/>
    <w:rsid w:val="005F1F83"/>
    <w:rsid w:val="005F2830"/>
    <w:rsid w:val="005F2CB1"/>
    <w:rsid w:val="005F3025"/>
    <w:rsid w:val="005F471E"/>
    <w:rsid w:val="005F55E6"/>
    <w:rsid w:val="005F618C"/>
    <w:rsid w:val="005F6634"/>
    <w:rsid w:val="005F6B55"/>
    <w:rsid w:val="005F70BD"/>
    <w:rsid w:val="005F7501"/>
    <w:rsid w:val="0060283C"/>
    <w:rsid w:val="006042E2"/>
    <w:rsid w:val="00604F14"/>
    <w:rsid w:val="0060644F"/>
    <w:rsid w:val="00611B83"/>
    <w:rsid w:val="00613257"/>
    <w:rsid w:val="00616073"/>
    <w:rsid w:val="00620A71"/>
    <w:rsid w:val="00620D80"/>
    <w:rsid w:val="006234A6"/>
    <w:rsid w:val="00623EDB"/>
    <w:rsid w:val="006257F0"/>
    <w:rsid w:val="00627F74"/>
    <w:rsid w:val="00630001"/>
    <w:rsid w:val="006301AB"/>
    <w:rsid w:val="006311B3"/>
    <w:rsid w:val="0063284C"/>
    <w:rsid w:val="00636398"/>
    <w:rsid w:val="006368D3"/>
    <w:rsid w:val="006377EC"/>
    <w:rsid w:val="00640A20"/>
    <w:rsid w:val="0064151F"/>
    <w:rsid w:val="00641533"/>
    <w:rsid w:val="006419B3"/>
    <w:rsid w:val="0064208D"/>
    <w:rsid w:val="006425F0"/>
    <w:rsid w:val="00643475"/>
    <w:rsid w:val="0064348E"/>
    <w:rsid w:val="0064396A"/>
    <w:rsid w:val="0064624E"/>
    <w:rsid w:val="006502DC"/>
    <w:rsid w:val="00650754"/>
    <w:rsid w:val="006508E1"/>
    <w:rsid w:val="00650AB9"/>
    <w:rsid w:val="006526F5"/>
    <w:rsid w:val="00652825"/>
    <w:rsid w:val="00652BAB"/>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1E73"/>
    <w:rsid w:val="0067218F"/>
    <w:rsid w:val="00672B4F"/>
    <w:rsid w:val="006741F2"/>
    <w:rsid w:val="00674CC3"/>
    <w:rsid w:val="00675C72"/>
    <w:rsid w:val="006771F9"/>
    <w:rsid w:val="006776D7"/>
    <w:rsid w:val="00681003"/>
    <w:rsid w:val="006817C9"/>
    <w:rsid w:val="00683ECE"/>
    <w:rsid w:val="00686A39"/>
    <w:rsid w:val="00686E4F"/>
    <w:rsid w:val="00687505"/>
    <w:rsid w:val="006879E3"/>
    <w:rsid w:val="00687F5B"/>
    <w:rsid w:val="006903CE"/>
    <w:rsid w:val="006939A5"/>
    <w:rsid w:val="00695E1E"/>
    <w:rsid w:val="00695FC2"/>
    <w:rsid w:val="00696949"/>
    <w:rsid w:val="00696C81"/>
    <w:rsid w:val="00697052"/>
    <w:rsid w:val="00697759"/>
    <w:rsid w:val="006A200D"/>
    <w:rsid w:val="006A3A23"/>
    <w:rsid w:val="006A46FB"/>
    <w:rsid w:val="006A57D2"/>
    <w:rsid w:val="006A5E28"/>
    <w:rsid w:val="006A6173"/>
    <w:rsid w:val="006A697B"/>
    <w:rsid w:val="006A7AFF"/>
    <w:rsid w:val="006B1816"/>
    <w:rsid w:val="006B2099"/>
    <w:rsid w:val="006B23CE"/>
    <w:rsid w:val="006B4A43"/>
    <w:rsid w:val="006B50CF"/>
    <w:rsid w:val="006B685D"/>
    <w:rsid w:val="006B7C6D"/>
    <w:rsid w:val="006C03B8"/>
    <w:rsid w:val="006C2404"/>
    <w:rsid w:val="006C256C"/>
    <w:rsid w:val="006C3477"/>
    <w:rsid w:val="006C5EC9"/>
    <w:rsid w:val="006C6059"/>
    <w:rsid w:val="006C7522"/>
    <w:rsid w:val="006D18E6"/>
    <w:rsid w:val="006D2DE6"/>
    <w:rsid w:val="006D6F08"/>
    <w:rsid w:val="006D7918"/>
    <w:rsid w:val="006E062C"/>
    <w:rsid w:val="006E1C82"/>
    <w:rsid w:val="006E28B7"/>
    <w:rsid w:val="006E2A9B"/>
    <w:rsid w:val="006E3310"/>
    <w:rsid w:val="006E3848"/>
    <w:rsid w:val="006E3CA2"/>
    <w:rsid w:val="006E4E39"/>
    <w:rsid w:val="006E55A4"/>
    <w:rsid w:val="006E565E"/>
    <w:rsid w:val="006E596C"/>
    <w:rsid w:val="006E673D"/>
    <w:rsid w:val="006E7D3B"/>
    <w:rsid w:val="006F1B70"/>
    <w:rsid w:val="006F251C"/>
    <w:rsid w:val="006F341D"/>
    <w:rsid w:val="006F3532"/>
    <w:rsid w:val="006F3CDE"/>
    <w:rsid w:val="006F58D4"/>
    <w:rsid w:val="006F6582"/>
    <w:rsid w:val="0070346E"/>
    <w:rsid w:val="00704EDB"/>
    <w:rsid w:val="00706101"/>
    <w:rsid w:val="00707072"/>
    <w:rsid w:val="00707D61"/>
    <w:rsid w:val="00707EA8"/>
    <w:rsid w:val="007109D5"/>
    <w:rsid w:val="00711378"/>
    <w:rsid w:val="00712287"/>
    <w:rsid w:val="00712579"/>
    <w:rsid w:val="00712772"/>
    <w:rsid w:val="0071471D"/>
    <w:rsid w:val="0071479D"/>
    <w:rsid w:val="007148D3"/>
    <w:rsid w:val="00715B9A"/>
    <w:rsid w:val="007175B5"/>
    <w:rsid w:val="00723552"/>
    <w:rsid w:val="00724DFE"/>
    <w:rsid w:val="007257D0"/>
    <w:rsid w:val="0072644D"/>
    <w:rsid w:val="00726EA6"/>
    <w:rsid w:val="00727208"/>
    <w:rsid w:val="00727680"/>
    <w:rsid w:val="00731FA6"/>
    <w:rsid w:val="007325FB"/>
    <w:rsid w:val="007348B1"/>
    <w:rsid w:val="007362A6"/>
    <w:rsid w:val="00736D7D"/>
    <w:rsid w:val="007403E3"/>
    <w:rsid w:val="00740E58"/>
    <w:rsid w:val="00741CAE"/>
    <w:rsid w:val="00742570"/>
    <w:rsid w:val="00742F55"/>
    <w:rsid w:val="007445A0"/>
    <w:rsid w:val="0074524B"/>
    <w:rsid w:val="00745261"/>
    <w:rsid w:val="00745B66"/>
    <w:rsid w:val="00745EAA"/>
    <w:rsid w:val="0074721F"/>
    <w:rsid w:val="00747D8B"/>
    <w:rsid w:val="00751228"/>
    <w:rsid w:val="00752E85"/>
    <w:rsid w:val="00754C30"/>
    <w:rsid w:val="007571E1"/>
    <w:rsid w:val="00757DF3"/>
    <w:rsid w:val="007604B2"/>
    <w:rsid w:val="00760530"/>
    <w:rsid w:val="00760B09"/>
    <w:rsid w:val="00764100"/>
    <w:rsid w:val="00764765"/>
    <w:rsid w:val="00765281"/>
    <w:rsid w:val="0076567E"/>
    <w:rsid w:val="007663FC"/>
    <w:rsid w:val="007668F8"/>
    <w:rsid w:val="00766BAD"/>
    <w:rsid w:val="007670E7"/>
    <w:rsid w:val="00767C06"/>
    <w:rsid w:val="00770305"/>
    <w:rsid w:val="00770BC8"/>
    <w:rsid w:val="007729A2"/>
    <w:rsid w:val="007755F2"/>
    <w:rsid w:val="007758B7"/>
    <w:rsid w:val="00776971"/>
    <w:rsid w:val="00780A80"/>
    <w:rsid w:val="00780C43"/>
    <w:rsid w:val="0078177E"/>
    <w:rsid w:val="0078304C"/>
    <w:rsid w:val="007832CE"/>
    <w:rsid w:val="00783673"/>
    <w:rsid w:val="0078464C"/>
    <w:rsid w:val="00785490"/>
    <w:rsid w:val="00787E16"/>
    <w:rsid w:val="00790166"/>
    <w:rsid w:val="0079067C"/>
    <w:rsid w:val="007925EA"/>
    <w:rsid w:val="00793686"/>
    <w:rsid w:val="00793CD8"/>
    <w:rsid w:val="007942D2"/>
    <w:rsid w:val="00794E1D"/>
    <w:rsid w:val="00795C92"/>
    <w:rsid w:val="00796231"/>
    <w:rsid w:val="00796285"/>
    <w:rsid w:val="007A1CB3"/>
    <w:rsid w:val="007A306F"/>
    <w:rsid w:val="007A3D6A"/>
    <w:rsid w:val="007A43A6"/>
    <w:rsid w:val="007A58A6"/>
    <w:rsid w:val="007A5A7F"/>
    <w:rsid w:val="007A5BED"/>
    <w:rsid w:val="007A6AC6"/>
    <w:rsid w:val="007A711D"/>
    <w:rsid w:val="007B09C5"/>
    <w:rsid w:val="007B3D2D"/>
    <w:rsid w:val="007B4350"/>
    <w:rsid w:val="007B50AE"/>
    <w:rsid w:val="007B51DF"/>
    <w:rsid w:val="007B67D1"/>
    <w:rsid w:val="007B7330"/>
    <w:rsid w:val="007B7FC9"/>
    <w:rsid w:val="007C05DD"/>
    <w:rsid w:val="007C0E55"/>
    <w:rsid w:val="007C1C9A"/>
    <w:rsid w:val="007C3D18"/>
    <w:rsid w:val="007C3E03"/>
    <w:rsid w:val="007C4DBD"/>
    <w:rsid w:val="007C60BF"/>
    <w:rsid w:val="007C6A07"/>
    <w:rsid w:val="007C75A1"/>
    <w:rsid w:val="007C77A5"/>
    <w:rsid w:val="007D04E5"/>
    <w:rsid w:val="007D0959"/>
    <w:rsid w:val="007D51C1"/>
    <w:rsid w:val="007D5220"/>
    <w:rsid w:val="007D5901"/>
    <w:rsid w:val="007D6C54"/>
    <w:rsid w:val="007D7526"/>
    <w:rsid w:val="007E2BB8"/>
    <w:rsid w:val="007E4610"/>
    <w:rsid w:val="007E4715"/>
    <w:rsid w:val="007E505B"/>
    <w:rsid w:val="007E7091"/>
    <w:rsid w:val="007F0A14"/>
    <w:rsid w:val="007F35BD"/>
    <w:rsid w:val="007F4C4E"/>
    <w:rsid w:val="007F6E1C"/>
    <w:rsid w:val="007F7627"/>
    <w:rsid w:val="007F7832"/>
    <w:rsid w:val="00802C0E"/>
    <w:rsid w:val="00803FAE"/>
    <w:rsid w:val="0080605F"/>
    <w:rsid w:val="00807786"/>
    <w:rsid w:val="00810AD2"/>
    <w:rsid w:val="00811FCB"/>
    <w:rsid w:val="00812652"/>
    <w:rsid w:val="00812DD7"/>
    <w:rsid w:val="00814F60"/>
    <w:rsid w:val="008158D6"/>
    <w:rsid w:val="00817196"/>
    <w:rsid w:val="0082107E"/>
    <w:rsid w:val="00821DAC"/>
    <w:rsid w:val="00822BDB"/>
    <w:rsid w:val="008235DB"/>
    <w:rsid w:val="00824AB4"/>
    <w:rsid w:val="008255F3"/>
    <w:rsid w:val="00825C42"/>
    <w:rsid w:val="00825D25"/>
    <w:rsid w:val="00827D6F"/>
    <w:rsid w:val="008304F1"/>
    <w:rsid w:val="00832F73"/>
    <w:rsid w:val="00835166"/>
    <w:rsid w:val="00835213"/>
    <w:rsid w:val="00835DAD"/>
    <w:rsid w:val="00835F53"/>
    <w:rsid w:val="008362FD"/>
    <w:rsid w:val="008376AC"/>
    <w:rsid w:val="00840296"/>
    <w:rsid w:val="008408A3"/>
    <w:rsid w:val="00843099"/>
    <w:rsid w:val="00843BA0"/>
    <w:rsid w:val="008444E8"/>
    <w:rsid w:val="00844E80"/>
    <w:rsid w:val="008460D1"/>
    <w:rsid w:val="00846B07"/>
    <w:rsid w:val="00846FE7"/>
    <w:rsid w:val="0085047C"/>
    <w:rsid w:val="00851A3E"/>
    <w:rsid w:val="00852024"/>
    <w:rsid w:val="008550D9"/>
    <w:rsid w:val="0085548D"/>
    <w:rsid w:val="00856911"/>
    <w:rsid w:val="00860E9F"/>
    <w:rsid w:val="00863DDC"/>
    <w:rsid w:val="00864123"/>
    <w:rsid w:val="008677FD"/>
    <w:rsid w:val="008706D4"/>
    <w:rsid w:val="00870AE6"/>
    <w:rsid w:val="00870F8A"/>
    <w:rsid w:val="008719A4"/>
    <w:rsid w:val="00871D23"/>
    <w:rsid w:val="00873A11"/>
    <w:rsid w:val="00874312"/>
    <w:rsid w:val="0087437C"/>
    <w:rsid w:val="00875CD7"/>
    <w:rsid w:val="00876B1C"/>
    <w:rsid w:val="00876B4D"/>
    <w:rsid w:val="00877F18"/>
    <w:rsid w:val="00880516"/>
    <w:rsid w:val="00881EBB"/>
    <w:rsid w:val="00883EEE"/>
    <w:rsid w:val="0088623F"/>
    <w:rsid w:val="008878D9"/>
    <w:rsid w:val="00890ACE"/>
    <w:rsid w:val="00891379"/>
    <w:rsid w:val="00892369"/>
    <w:rsid w:val="00892FF6"/>
    <w:rsid w:val="008941E3"/>
    <w:rsid w:val="00894A88"/>
    <w:rsid w:val="00895386"/>
    <w:rsid w:val="008966E5"/>
    <w:rsid w:val="00896770"/>
    <w:rsid w:val="00897E6D"/>
    <w:rsid w:val="008A21FF"/>
    <w:rsid w:val="008A2CE2"/>
    <w:rsid w:val="008A30AC"/>
    <w:rsid w:val="008A44B8"/>
    <w:rsid w:val="008A51A8"/>
    <w:rsid w:val="008A54C7"/>
    <w:rsid w:val="008A77D8"/>
    <w:rsid w:val="008B0483"/>
    <w:rsid w:val="008B120C"/>
    <w:rsid w:val="008B3585"/>
    <w:rsid w:val="008B51A0"/>
    <w:rsid w:val="008B592A"/>
    <w:rsid w:val="008B7B5C"/>
    <w:rsid w:val="008C02F0"/>
    <w:rsid w:val="008C0C99"/>
    <w:rsid w:val="008C2017"/>
    <w:rsid w:val="008C2786"/>
    <w:rsid w:val="008C4958"/>
    <w:rsid w:val="008C4BAA"/>
    <w:rsid w:val="008C6AE8"/>
    <w:rsid w:val="008C7573"/>
    <w:rsid w:val="008D00A5"/>
    <w:rsid w:val="008D1407"/>
    <w:rsid w:val="008D34F1"/>
    <w:rsid w:val="008D39D8"/>
    <w:rsid w:val="008D4B54"/>
    <w:rsid w:val="008D6D1A"/>
    <w:rsid w:val="008D717A"/>
    <w:rsid w:val="008E00E5"/>
    <w:rsid w:val="008E065E"/>
    <w:rsid w:val="008E0927"/>
    <w:rsid w:val="008E1909"/>
    <w:rsid w:val="008E309F"/>
    <w:rsid w:val="008E40D4"/>
    <w:rsid w:val="008F1C4E"/>
    <w:rsid w:val="008F1EAB"/>
    <w:rsid w:val="008F33DC"/>
    <w:rsid w:val="008F3ED6"/>
    <w:rsid w:val="008F46ED"/>
    <w:rsid w:val="008F477F"/>
    <w:rsid w:val="008F52E7"/>
    <w:rsid w:val="008F6D73"/>
    <w:rsid w:val="008F720D"/>
    <w:rsid w:val="00900588"/>
    <w:rsid w:val="00902350"/>
    <w:rsid w:val="00902743"/>
    <w:rsid w:val="0090336B"/>
    <w:rsid w:val="009053AA"/>
    <w:rsid w:val="0090659D"/>
    <w:rsid w:val="00906939"/>
    <w:rsid w:val="0090717F"/>
    <w:rsid w:val="00910144"/>
    <w:rsid w:val="00910B7D"/>
    <w:rsid w:val="00911DFB"/>
    <w:rsid w:val="00912337"/>
    <w:rsid w:val="00912C97"/>
    <w:rsid w:val="009131BC"/>
    <w:rsid w:val="009139D9"/>
    <w:rsid w:val="00914AD8"/>
    <w:rsid w:val="00916079"/>
    <w:rsid w:val="00917805"/>
    <w:rsid w:val="00917C78"/>
    <w:rsid w:val="00917CE9"/>
    <w:rsid w:val="00920BF2"/>
    <w:rsid w:val="00921A1B"/>
    <w:rsid w:val="00922010"/>
    <w:rsid w:val="00926811"/>
    <w:rsid w:val="00926C08"/>
    <w:rsid w:val="00927A62"/>
    <w:rsid w:val="00927BC3"/>
    <w:rsid w:val="00931BD9"/>
    <w:rsid w:val="009346BA"/>
    <w:rsid w:val="009368F3"/>
    <w:rsid w:val="009407F6"/>
    <w:rsid w:val="00940C3C"/>
    <w:rsid w:val="0094108A"/>
    <w:rsid w:val="00941636"/>
    <w:rsid w:val="00942602"/>
    <w:rsid w:val="00943742"/>
    <w:rsid w:val="00945C05"/>
    <w:rsid w:val="00945DE5"/>
    <w:rsid w:val="00946945"/>
    <w:rsid w:val="00946AFB"/>
    <w:rsid w:val="00947713"/>
    <w:rsid w:val="009477CE"/>
    <w:rsid w:val="00950DE7"/>
    <w:rsid w:val="009512F4"/>
    <w:rsid w:val="0095151A"/>
    <w:rsid w:val="00952029"/>
    <w:rsid w:val="00953920"/>
    <w:rsid w:val="00953C36"/>
    <w:rsid w:val="00953D47"/>
    <w:rsid w:val="00954FB1"/>
    <w:rsid w:val="0095681E"/>
    <w:rsid w:val="009572D4"/>
    <w:rsid w:val="00960A25"/>
    <w:rsid w:val="00961921"/>
    <w:rsid w:val="0096430A"/>
    <w:rsid w:val="0096554B"/>
    <w:rsid w:val="0096584A"/>
    <w:rsid w:val="009676CE"/>
    <w:rsid w:val="00971F08"/>
    <w:rsid w:val="00972DDD"/>
    <w:rsid w:val="0097589B"/>
    <w:rsid w:val="0097603D"/>
    <w:rsid w:val="009761E9"/>
    <w:rsid w:val="00976294"/>
    <w:rsid w:val="00976949"/>
    <w:rsid w:val="00976C0D"/>
    <w:rsid w:val="00980477"/>
    <w:rsid w:val="0098239A"/>
    <w:rsid w:val="00982493"/>
    <w:rsid w:val="00983F94"/>
    <w:rsid w:val="00985253"/>
    <w:rsid w:val="009853B3"/>
    <w:rsid w:val="00985F13"/>
    <w:rsid w:val="00990630"/>
    <w:rsid w:val="0099175B"/>
    <w:rsid w:val="00991761"/>
    <w:rsid w:val="00992505"/>
    <w:rsid w:val="009948B5"/>
    <w:rsid w:val="00994DCA"/>
    <w:rsid w:val="009960EC"/>
    <w:rsid w:val="009970DD"/>
    <w:rsid w:val="009A0FBA"/>
    <w:rsid w:val="009A1601"/>
    <w:rsid w:val="009A3BB6"/>
    <w:rsid w:val="009A3E51"/>
    <w:rsid w:val="009A462D"/>
    <w:rsid w:val="009A4AF5"/>
    <w:rsid w:val="009A5543"/>
    <w:rsid w:val="009A5CBA"/>
    <w:rsid w:val="009A7995"/>
    <w:rsid w:val="009B00E3"/>
    <w:rsid w:val="009B0BE6"/>
    <w:rsid w:val="009B1F30"/>
    <w:rsid w:val="009B3AC2"/>
    <w:rsid w:val="009B3FE7"/>
    <w:rsid w:val="009B4DF4"/>
    <w:rsid w:val="009B564E"/>
    <w:rsid w:val="009B6059"/>
    <w:rsid w:val="009B61DD"/>
    <w:rsid w:val="009B712B"/>
    <w:rsid w:val="009B7CB5"/>
    <w:rsid w:val="009B7E87"/>
    <w:rsid w:val="009C0169"/>
    <w:rsid w:val="009C1649"/>
    <w:rsid w:val="009C2672"/>
    <w:rsid w:val="009C319A"/>
    <w:rsid w:val="009C403E"/>
    <w:rsid w:val="009C4126"/>
    <w:rsid w:val="009C7935"/>
    <w:rsid w:val="009D4FF0"/>
    <w:rsid w:val="009D703C"/>
    <w:rsid w:val="009D718F"/>
    <w:rsid w:val="009D72EC"/>
    <w:rsid w:val="009E068F"/>
    <w:rsid w:val="009E14E0"/>
    <w:rsid w:val="009E2F14"/>
    <w:rsid w:val="009E35DB"/>
    <w:rsid w:val="009E47A3"/>
    <w:rsid w:val="009E59B0"/>
    <w:rsid w:val="009E628F"/>
    <w:rsid w:val="009E6301"/>
    <w:rsid w:val="009E6EFB"/>
    <w:rsid w:val="009F0489"/>
    <w:rsid w:val="009F08F3"/>
    <w:rsid w:val="009F0969"/>
    <w:rsid w:val="009F1E3C"/>
    <w:rsid w:val="009F3292"/>
    <w:rsid w:val="009F3340"/>
    <w:rsid w:val="009F344F"/>
    <w:rsid w:val="009F3468"/>
    <w:rsid w:val="009F4C7C"/>
    <w:rsid w:val="009F5EB9"/>
    <w:rsid w:val="009F6BBD"/>
    <w:rsid w:val="00A01FA7"/>
    <w:rsid w:val="00A02800"/>
    <w:rsid w:val="00A031D8"/>
    <w:rsid w:val="00A048A8"/>
    <w:rsid w:val="00A04F49"/>
    <w:rsid w:val="00A073A8"/>
    <w:rsid w:val="00A1031A"/>
    <w:rsid w:val="00A13390"/>
    <w:rsid w:val="00A1379D"/>
    <w:rsid w:val="00A13E54"/>
    <w:rsid w:val="00A17F63"/>
    <w:rsid w:val="00A2117D"/>
    <w:rsid w:val="00A217E5"/>
    <w:rsid w:val="00A2193B"/>
    <w:rsid w:val="00A2351A"/>
    <w:rsid w:val="00A2633C"/>
    <w:rsid w:val="00A264A9"/>
    <w:rsid w:val="00A26DCF"/>
    <w:rsid w:val="00A26E73"/>
    <w:rsid w:val="00A2763A"/>
    <w:rsid w:val="00A27785"/>
    <w:rsid w:val="00A30187"/>
    <w:rsid w:val="00A3448A"/>
    <w:rsid w:val="00A34708"/>
    <w:rsid w:val="00A35A2C"/>
    <w:rsid w:val="00A36297"/>
    <w:rsid w:val="00A41E2B"/>
    <w:rsid w:val="00A42BA0"/>
    <w:rsid w:val="00A436DE"/>
    <w:rsid w:val="00A45B74"/>
    <w:rsid w:val="00A528F4"/>
    <w:rsid w:val="00A52E1D"/>
    <w:rsid w:val="00A54188"/>
    <w:rsid w:val="00A61499"/>
    <w:rsid w:val="00A62A77"/>
    <w:rsid w:val="00A63483"/>
    <w:rsid w:val="00A648BB"/>
    <w:rsid w:val="00A657D7"/>
    <w:rsid w:val="00A660AC"/>
    <w:rsid w:val="00A67E6C"/>
    <w:rsid w:val="00A71B99"/>
    <w:rsid w:val="00A72116"/>
    <w:rsid w:val="00A73610"/>
    <w:rsid w:val="00A739D0"/>
    <w:rsid w:val="00A761D4"/>
    <w:rsid w:val="00A77DF0"/>
    <w:rsid w:val="00A77EC4"/>
    <w:rsid w:val="00A8065A"/>
    <w:rsid w:val="00A90751"/>
    <w:rsid w:val="00A923ED"/>
    <w:rsid w:val="00A92879"/>
    <w:rsid w:val="00A9442A"/>
    <w:rsid w:val="00A958B7"/>
    <w:rsid w:val="00A96107"/>
    <w:rsid w:val="00A97A27"/>
    <w:rsid w:val="00AA016F"/>
    <w:rsid w:val="00AA1ED6"/>
    <w:rsid w:val="00AA3109"/>
    <w:rsid w:val="00AA4F98"/>
    <w:rsid w:val="00AA51D6"/>
    <w:rsid w:val="00AA5224"/>
    <w:rsid w:val="00AB0BC8"/>
    <w:rsid w:val="00AB11CA"/>
    <w:rsid w:val="00AB14D9"/>
    <w:rsid w:val="00AB2C69"/>
    <w:rsid w:val="00AB2FB9"/>
    <w:rsid w:val="00AB4AB8"/>
    <w:rsid w:val="00AB5CEE"/>
    <w:rsid w:val="00AB655E"/>
    <w:rsid w:val="00AB6C06"/>
    <w:rsid w:val="00AC007F"/>
    <w:rsid w:val="00AC1602"/>
    <w:rsid w:val="00AC1675"/>
    <w:rsid w:val="00AC2ECD"/>
    <w:rsid w:val="00AC3119"/>
    <w:rsid w:val="00AC3A67"/>
    <w:rsid w:val="00AC49FB"/>
    <w:rsid w:val="00AC56A4"/>
    <w:rsid w:val="00AC5A10"/>
    <w:rsid w:val="00AD0AA3"/>
    <w:rsid w:val="00AD2ED0"/>
    <w:rsid w:val="00AD38D7"/>
    <w:rsid w:val="00AD3F94"/>
    <w:rsid w:val="00AD4A5A"/>
    <w:rsid w:val="00AE0A98"/>
    <w:rsid w:val="00AE13B2"/>
    <w:rsid w:val="00AE27AC"/>
    <w:rsid w:val="00AE40E0"/>
    <w:rsid w:val="00AE4DBA"/>
    <w:rsid w:val="00AE4F07"/>
    <w:rsid w:val="00AE6CAB"/>
    <w:rsid w:val="00AF0DD7"/>
    <w:rsid w:val="00AF13E7"/>
    <w:rsid w:val="00AF1C5D"/>
    <w:rsid w:val="00AF42D7"/>
    <w:rsid w:val="00AF71E2"/>
    <w:rsid w:val="00AF7FB3"/>
    <w:rsid w:val="00B006FE"/>
    <w:rsid w:val="00B007CB"/>
    <w:rsid w:val="00B00EFD"/>
    <w:rsid w:val="00B02AA9"/>
    <w:rsid w:val="00B02FA3"/>
    <w:rsid w:val="00B042B1"/>
    <w:rsid w:val="00B05084"/>
    <w:rsid w:val="00B157F9"/>
    <w:rsid w:val="00B15AF2"/>
    <w:rsid w:val="00B175AB"/>
    <w:rsid w:val="00B20256"/>
    <w:rsid w:val="00B20D09"/>
    <w:rsid w:val="00B25864"/>
    <w:rsid w:val="00B26C28"/>
    <w:rsid w:val="00B2763F"/>
    <w:rsid w:val="00B27AAC"/>
    <w:rsid w:val="00B30929"/>
    <w:rsid w:val="00B33AAC"/>
    <w:rsid w:val="00B361BE"/>
    <w:rsid w:val="00B36AFA"/>
    <w:rsid w:val="00B36E43"/>
    <w:rsid w:val="00B372AA"/>
    <w:rsid w:val="00B40268"/>
    <w:rsid w:val="00B40445"/>
    <w:rsid w:val="00B409E0"/>
    <w:rsid w:val="00B41888"/>
    <w:rsid w:val="00B45A52"/>
    <w:rsid w:val="00B46175"/>
    <w:rsid w:val="00B50179"/>
    <w:rsid w:val="00B548B7"/>
    <w:rsid w:val="00B5578E"/>
    <w:rsid w:val="00B664C7"/>
    <w:rsid w:val="00B665F7"/>
    <w:rsid w:val="00B739F6"/>
    <w:rsid w:val="00B81A6C"/>
    <w:rsid w:val="00B83EAF"/>
    <w:rsid w:val="00B84C41"/>
    <w:rsid w:val="00B85741"/>
    <w:rsid w:val="00B85DE5"/>
    <w:rsid w:val="00B86D42"/>
    <w:rsid w:val="00B86DA3"/>
    <w:rsid w:val="00B90F73"/>
    <w:rsid w:val="00B933B6"/>
    <w:rsid w:val="00B933E4"/>
    <w:rsid w:val="00B93B59"/>
    <w:rsid w:val="00B93FDC"/>
    <w:rsid w:val="00B9406A"/>
    <w:rsid w:val="00BA0820"/>
    <w:rsid w:val="00BA2173"/>
    <w:rsid w:val="00BA2280"/>
    <w:rsid w:val="00BA2A08"/>
    <w:rsid w:val="00BA4A05"/>
    <w:rsid w:val="00BA51C5"/>
    <w:rsid w:val="00BA56D2"/>
    <w:rsid w:val="00BA76E0"/>
    <w:rsid w:val="00BB0916"/>
    <w:rsid w:val="00BB2843"/>
    <w:rsid w:val="00BB2A25"/>
    <w:rsid w:val="00BB51E7"/>
    <w:rsid w:val="00BB51E9"/>
    <w:rsid w:val="00BC0FDC"/>
    <w:rsid w:val="00BC14A7"/>
    <w:rsid w:val="00BC230F"/>
    <w:rsid w:val="00BC2B70"/>
    <w:rsid w:val="00BC3053"/>
    <w:rsid w:val="00BC4D2E"/>
    <w:rsid w:val="00BC67A7"/>
    <w:rsid w:val="00BC6933"/>
    <w:rsid w:val="00BD48AC"/>
    <w:rsid w:val="00BD5F1A"/>
    <w:rsid w:val="00BE1234"/>
    <w:rsid w:val="00BE1D55"/>
    <w:rsid w:val="00BE2FA6"/>
    <w:rsid w:val="00BE2FC1"/>
    <w:rsid w:val="00BE333F"/>
    <w:rsid w:val="00BE3EFF"/>
    <w:rsid w:val="00BE5DC8"/>
    <w:rsid w:val="00BE70E6"/>
    <w:rsid w:val="00BE7406"/>
    <w:rsid w:val="00BE7603"/>
    <w:rsid w:val="00BF3279"/>
    <w:rsid w:val="00BF5465"/>
    <w:rsid w:val="00BF74C7"/>
    <w:rsid w:val="00C000B6"/>
    <w:rsid w:val="00C00622"/>
    <w:rsid w:val="00C015F1"/>
    <w:rsid w:val="00C01F33"/>
    <w:rsid w:val="00C02AFC"/>
    <w:rsid w:val="00C02CC6"/>
    <w:rsid w:val="00C040F7"/>
    <w:rsid w:val="00C043D8"/>
    <w:rsid w:val="00C044AB"/>
    <w:rsid w:val="00C05706"/>
    <w:rsid w:val="00C062EE"/>
    <w:rsid w:val="00C07377"/>
    <w:rsid w:val="00C10478"/>
    <w:rsid w:val="00C11433"/>
    <w:rsid w:val="00C12107"/>
    <w:rsid w:val="00C14D4B"/>
    <w:rsid w:val="00C154BB"/>
    <w:rsid w:val="00C21307"/>
    <w:rsid w:val="00C24197"/>
    <w:rsid w:val="00C242DB"/>
    <w:rsid w:val="00C26CE3"/>
    <w:rsid w:val="00C274B6"/>
    <w:rsid w:val="00C279B5"/>
    <w:rsid w:val="00C27C45"/>
    <w:rsid w:val="00C3109E"/>
    <w:rsid w:val="00C32ED6"/>
    <w:rsid w:val="00C33393"/>
    <w:rsid w:val="00C36E4C"/>
    <w:rsid w:val="00C3719D"/>
    <w:rsid w:val="00C37CB2"/>
    <w:rsid w:val="00C41009"/>
    <w:rsid w:val="00C44BBB"/>
    <w:rsid w:val="00C45F50"/>
    <w:rsid w:val="00C473A5"/>
    <w:rsid w:val="00C52E1C"/>
    <w:rsid w:val="00C53F35"/>
    <w:rsid w:val="00C54995"/>
    <w:rsid w:val="00C54D41"/>
    <w:rsid w:val="00C562CF"/>
    <w:rsid w:val="00C6038F"/>
    <w:rsid w:val="00C60783"/>
    <w:rsid w:val="00C61075"/>
    <w:rsid w:val="00C63CAB"/>
    <w:rsid w:val="00C64672"/>
    <w:rsid w:val="00C65BBD"/>
    <w:rsid w:val="00C70697"/>
    <w:rsid w:val="00C70AF8"/>
    <w:rsid w:val="00C72093"/>
    <w:rsid w:val="00C72EF4"/>
    <w:rsid w:val="00C744FE"/>
    <w:rsid w:val="00C74808"/>
    <w:rsid w:val="00C74E23"/>
    <w:rsid w:val="00C75CBF"/>
    <w:rsid w:val="00C75D2F"/>
    <w:rsid w:val="00C767BE"/>
    <w:rsid w:val="00C76974"/>
    <w:rsid w:val="00C76E3C"/>
    <w:rsid w:val="00C77CF1"/>
    <w:rsid w:val="00C81568"/>
    <w:rsid w:val="00C826E5"/>
    <w:rsid w:val="00C871B4"/>
    <w:rsid w:val="00C87A5B"/>
    <w:rsid w:val="00C9027A"/>
    <w:rsid w:val="00C904F3"/>
    <w:rsid w:val="00C9068E"/>
    <w:rsid w:val="00C93814"/>
    <w:rsid w:val="00C93C4B"/>
    <w:rsid w:val="00C944AB"/>
    <w:rsid w:val="00C95B40"/>
    <w:rsid w:val="00CA1ED8"/>
    <w:rsid w:val="00CA24EF"/>
    <w:rsid w:val="00CA329F"/>
    <w:rsid w:val="00CB136F"/>
    <w:rsid w:val="00CB1F63"/>
    <w:rsid w:val="00CB7170"/>
    <w:rsid w:val="00CC03EE"/>
    <w:rsid w:val="00CC040E"/>
    <w:rsid w:val="00CC111F"/>
    <w:rsid w:val="00CC2011"/>
    <w:rsid w:val="00CC2C3E"/>
    <w:rsid w:val="00CC31CE"/>
    <w:rsid w:val="00CC3EA0"/>
    <w:rsid w:val="00CC7B45"/>
    <w:rsid w:val="00CD0B65"/>
    <w:rsid w:val="00CD1188"/>
    <w:rsid w:val="00CD1E2D"/>
    <w:rsid w:val="00CD2143"/>
    <w:rsid w:val="00CD2348"/>
    <w:rsid w:val="00CD2ED1"/>
    <w:rsid w:val="00CD337B"/>
    <w:rsid w:val="00CD3BDD"/>
    <w:rsid w:val="00CE0424"/>
    <w:rsid w:val="00CE0BF7"/>
    <w:rsid w:val="00CE10C7"/>
    <w:rsid w:val="00CE25BF"/>
    <w:rsid w:val="00CE2CF5"/>
    <w:rsid w:val="00CE7561"/>
    <w:rsid w:val="00CF07DF"/>
    <w:rsid w:val="00CF1354"/>
    <w:rsid w:val="00CF2323"/>
    <w:rsid w:val="00CF397E"/>
    <w:rsid w:val="00CF3B1F"/>
    <w:rsid w:val="00CF3BF6"/>
    <w:rsid w:val="00CF5F66"/>
    <w:rsid w:val="00CF625B"/>
    <w:rsid w:val="00CF687E"/>
    <w:rsid w:val="00CF7A46"/>
    <w:rsid w:val="00D0349B"/>
    <w:rsid w:val="00D05FBC"/>
    <w:rsid w:val="00D10249"/>
    <w:rsid w:val="00D115C3"/>
    <w:rsid w:val="00D11897"/>
    <w:rsid w:val="00D12B8C"/>
    <w:rsid w:val="00D13135"/>
    <w:rsid w:val="00D13E4E"/>
    <w:rsid w:val="00D16C0D"/>
    <w:rsid w:val="00D21062"/>
    <w:rsid w:val="00D22FBB"/>
    <w:rsid w:val="00D236DB"/>
    <w:rsid w:val="00D239A7"/>
    <w:rsid w:val="00D23F47"/>
    <w:rsid w:val="00D30191"/>
    <w:rsid w:val="00D3076C"/>
    <w:rsid w:val="00D31620"/>
    <w:rsid w:val="00D31958"/>
    <w:rsid w:val="00D36E71"/>
    <w:rsid w:val="00D37D87"/>
    <w:rsid w:val="00D4019C"/>
    <w:rsid w:val="00D402A6"/>
    <w:rsid w:val="00D40B33"/>
    <w:rsid w:val="00D40E62"/>
    <w:rsid w:val="00D4318F"/>
    <w:rsid w:val="00D438BF"/>
    <w:rsid w:val="00D440F8"/>
    <w:rsid w:val="00D45354"/>
    <w:rsid w:val="00D50546"/>
    <w:rsid w:val="00D540AF"/>
    <w:rsid w:val="00D546FF"/>
    <w:rsid w:val="00D55AD5"/>
    <w:rsid w:val="00D5762D"/>
    <w:rsid w:val="00D576CA"/>
    <w:rsid w:val="00D57E1C"/>
    <w:rsid w:val="00D618CD"/>
    <w:rsid w:val="00D61AF5"/>
    <w:rsid w:val="00D652B5"/>
    <w:rsid w:val="00D65F32"/>
    <w:rsid w:val="00D66155"/>
    <w:rsid w:val="00D708B0"/>
    <w:rsid w:val="00D72C16"/>
    <w:rsid w:val="00D75251"/>
    <w:rsid w:val="00D77B1D"/>
    <w:rsid w:val="00D8021F"/>
    <w:rsid w:val="00D80383"/>
    <w:rsid w:val="00D817E5"/>
    <w:rsid w:val="00D81BC1"/>
    <w:rsid w:val="00D823C6"/>
    <w:rsid w:val="00D8327F"/>
    <w:rsid w:val="00D842C0"/>
    <w:rsid w:val="00D86CA3"/>
    <w:rsid w:val="00D871CE"/>
    <w:rsid w:val="00D9196D"/>
    <w:rsid w:val="00D92982"/>
    <w:rsid w:val="00D944D6"/>
    <w:rsid w:val="00D947A5"/>
    <w:rsid w:val="00D95F1E"/>
    <w:rsid w:val="00DA1E39"/>
    <w:rsid w:val="00DA305E"/>
    <w:rsid w:val="00DA3366"/>
    <w:rsid w:val="00DA4056"/>
    <w:rsid w:val="00DA5417"/>
    <w:rsid w:val="00DA56E8"/>
    <w:rsid w:val="00DA69B9"/>
    <w:rsid w:val="00DA7879"/>
    <w:rsid w:val="00DB0361"/>
    <w:rsid w:val="00DB0563"/>
    <w:rsid w:val="00DB0A9F"/>
    <w:rsid w:val="00DB21D2"/>
    <w:rsid w:val="00DB2C82"/>
    <w:rsid w:val="00DB377D"/>
    <w:rsid w:val="00DC2D36"/>
    <w:rsid w:val="00DC3C76"/>
    <w:rsid w:val="00DC4C72"/>
    <w:rsid w:val="00DC53EF"/>
    <w:rsid w:val="00DD4203"/>
    <w:rsid w:val="00DE1E60"/>
    <w:rsid w:val="00DE303D"/>
    <w:rsid w:val="00DE5608"/>
    <w:rsid w:val="00DE583A"/>
    <w:rsid w:val="00DE58D0"/>
    <w:rsid w:val="00DE5D65"/>
    <w:rsid w:val="00DE654F"/>
    <w:rsid w:val="00DE7130"/>
    <w:rsid w:val="00DE7279"/>
    <w:rsid w:val="00DF0B6E"/>
    <w:rsid w:val="00DF1020"/>
    <w:rsid w:val="00DF15E0"/>
    <w:rsid w:val="00DF1AD9"/>
    <w:rsid w:val="00DF2451"/>
    <w:rsid w:val="00DF37A0"/>
    <w:rsid w:val="00DF7C68"/>
    <w:rsid w:val="00E011B9"/>
    <w:rsid w:val="00E05C9A"/>
    <w:rsid w:val="00E0657E"/>
    <w:rsid w:val="00E110E7"/>
    <w:rsid w:val="00E11B20"/>
    <w:rsid w:val="00E16A03"/>
    <w:rsid w:val="00E16CCB"/>
    <w:rsid w:val="00E177C5"/>
    <w:rsid w:val="00E17FA2"/>
    <w:rsid w:val="00E2029A"/>
    <w:rsid w:val="00E2189A"/>
    <w:rsid w:val="00E21E37"/>
    <w:rsid w:val="00E22330"/>
    <w:rsid w:val="00E2633E"/>
    <w:rsid w:val="00E30B5A"/>
    <w:rsid w:val="00E3123D"/>
    <w:rsid w:val="00E31461"/>
    <w:rsid w:val="00E315DB"/>
    <w:rsid w:val="00E31D43"/>
    <w:rsid w:val="00E32608"/>
    <w:rsid w:val="00E32E42"/>
    <w:rsid w:val="00E34188"/>
    <w:rsid w:val="00E34B6E"/>
    <w:rsid w:val="00E35318"/>
    <w:rsid w:val="00E35559"/>
    <w:rsid w:val="00E366A8"/>
    <w:rsid w:val="00E3723A"/>
    <w:rsid w:val="00E37860"/>
    <w:rsid w:val="00E4098D"/>
    <w:rsid w:val="00E4280E"/>
    <w:rsid w:val="00E4426A"/>
    <w:rsid w:val="00E446F1"/>
    <w:rsid w:val="00E44A77"/>
    <w:rsid w:val="00E45081"/>
    <w:rsid w:val="00E45B2F"/>
    <w:rsid w:val="00E46886"/>
    <w:rsid w:val="00E46EB3"/>
    <w:rsid w:val="00E47AEF"/>
    <w:rsid w:val="00E522C2"/>
    <w:rsid w:val="00E53B75"/>
    <w:rsid w:val="00E54E3B"/>
    <w:rsid w:val="00E567F3"/>
    <w:rsid w:val="00E57565"/>
    <w:rsid w:val="00E62756"/>
    <w:rsid w:val="00E62C45"/>
    <w:rsid w:val="00E63838"/>
    <w:rsid w:val="00E64434"/>
    <w:rsid w:val="00E67179"/>
    <w:rsid w:val="00E679A7"/>
    <w:rsid w:val="00E67C51"/>
    <w:rsid w:val="00E72EFC"/>
    <w:rsid w:val="00E73E3D"/>
    <w:rsid w:val="00E758EC"/>
    <w:rsid w:val="00E764B3"/>
    <w:rsid w:val="00E76B28"/>
    <w:rsid w:val="00E76C9B"/>
    <w:rsid w:val="00E8234C"/>
    <w:rsid w:val="00E824B9"/>
    <w:rsid w:val="00E83AA9"/>
    <w:rsid w:val="00E85928"/>
    <w:rsid w:val="00E87073"/>
    <w:rsid w:val="00E87822"/>
    <w:rsid w:val="00E90395"/>
    <w:rsid w:val="00E904DB"/>
    <w:rsid w:val="00E90E49"/>
    <w:rsid w:val="00E917F9"/>
    <w:rsid w:val="00E9291C"/>
    <w:rsid w:val="00E93FFE"/>
    <w:rsid w:val="00E94F8A"/>
    <w:rsid w:val="00E97D6D"/>
    <w:rsid w:val="00EA028D"/>
    <w:rsid w:val="00EA7A41"/>
    <w:rsid w:val="00EB077B"/>
    <w:rsid w:val="00EB4EA2"/>
    <w:rsid w:val="00EB60F2"/>
    <w:rsid w:val="00EB6C7A"/>
    <w:rsid w:val="00EB7550"/>
    <w:rsid w:val="00EC24D5"/>
    <w:rsid w:val="00EC27C6"/>
    <w:rsid w:val="00EC3B42"/>
    <w:rsid w:val="00EC4207"/>
    <w:rsid w:val="00EC5653"/>
    <w:rsid w:val="00EC569D"/>
    <w:rsid w:val="00EC71CE"/>
    <w:rsid w:val="00EC75CE"/>
    <w:rsid w:val="00ED1006"/>
    <w:rsid w:val="00ED1134"/>
    <w:rsid w:val="00ED18F4"/>
    <w:rsid w:val="00ED4CE6"/>
    <w:rsid w:val="00EE0E14"/>
    <w:rsid w:val="00EE41E5"/>
    <w:rsid w:val="00EE4694"/>
    <w:rsid w:val="00EE6BF9"/>
    <w:rsid w:val="00EE7BB0"/>
    <w:rsid w:val="00EF18FE"/>
    <w:rsid w:val="00EF3931"/>
    <w:rsid w:val="00EF3E9D"/>
    <w:rsid w:val="00EF503B"/>
    <w:rsid w:val="00EF51DF"/>
    <w:rsid w:val="00EF5787"/>
    <w:rsid w:val="00EF60D0"/>
    <w:rsid w:val="00EF6217"/>
    <w:rsid w:val="00EF63C5"/>
    <w:rsid w:val="00EF6A2B"/>
    <w:rsid w:val="00EF7812"/>
    <w:rsid w:val="00F04565"/>
    <w:rsid w:val="00F0528D"/>
    <w:rsid w:val="00F06C67"/>
    <w:rsid w:val="00F06DFD"/>
    <w:rsid w:val="00F071D1"/>
    <w:rsid w:val="00F07533"/>
    <w:rsid w:val="00F10629"/>
    <w:rsid w:val="00F140F1"/>
    <w:rsid w:val="00F1419B"/>
    <w:rsid w:val="00F15FA5"/>
    <w:rsid w:val="00F16934"/>
    <w:rsid w:val="00F201F8"/>
    <w:rsid w:val="00F207D8"/>
    <w:rsid w:val="00F20844"/>
    <w:rsid w:val="00F209B7"/>
    <w:rsid w:val="00F21A09"/>
    <w:rsid w:val="00F2376F"/>
    <w:rsid w:val="00F243D8"/>
    <w:rsid w:val="00F245E1"/>
    <w:rsid w:val="00F2797F"/>
    <w:rsid w:val="00F30828"/>
    <w:rsid w:val="00F313D6"/>
    <w:rsid w:val="00F32CEC"/>
    <w:rsid w:val="00F353ED"/>
    <w:rsid w:val="00F36985"/>
    <w:rsid w:val="00F40716"/>
    <w:rsid w:val="00F40F0C"/>
    <w:rsid w:val="00F4766C"/>
    <w:rsid w:val="00F47B83"/>
    <w:rsid w:val="00F5043B"/>
    <w:rsid w:val="00F5060E"/>
    <w:rsid w:val="00F507D1"/>
    <w:rsid w:val="00F519CE"/>
    <w:rsid w:val="00F51ADA"/>
    <w:rsid w:val="00F60203"/>
    <w:rsid w:val="00F6022A"/>
    <w:rsid w:val="00F607C5"/>
    <w:rsid w:val="00F60B00"/>
    <w:rsid w:val="00F60DEA"/>
    <w:rsid w:val="00F615EC"/>
    <w:rsid w:val="00F6302A"/>
    <w:rsid w:val="00F63950"/>
    <w:rsid w:val="00F63DFB"/>
    <w:rsid w:val="00F64087"/>
    <w:rsid w:val="00F64C2B"/>
    <w:rsid w:val="00F651BE"/>
    <w:rsid w:val="00F66D9D"/>
    <w:rsid w:val="00F67F53"/>
    <w:rsid w:val="00F703BE"/>
    <w:rsid w:val="00F71F69"/>
    <w:rsid w:val="00F72B72"/>
    <w:rsid w:val="00F73C32"/>
    <w:rsid w:val="00F74009"/>
    <w:rsid w:val="00F742C3"/>
    <w:rsid w:val="00F74BB9"/>
    <w:rsid w:val="00F75582"/>
    <w:rsid w:val="00F76EFA"/>
    <w:rsid w:val="00F804BE"/>
    <w:rsid w:val="00F817CE"/>
    <w:rsid w:val="00F82088"/>
    <w:rsid w:val="00F8456C"/>
    <w:rsid w:val="00F85972"/>
    <w:rsid w:val="00F859D8"/>
    <w:rsid w:val="00F868F5"/>
    <w:rsid w:val="00F9056A"/>
    <w:rsid w:val="00F90F8D"/>
    <w:rsid w:val="00F912B1"/>
    <w:rsid w:val="00F91E1C"/>
    <w:rsid w:val="00F92782"/>
    <w:rsid w:val="00F93AA9"/>
    <w:rsid w:val="00F94884"/>
    <w:rsid w:val="00F94891"/>
    <w:rsid w:val="00F95F2E"/>
    <w:rsid w:val="00F96985"/>
    <w:rsid w:val="00F97838"/>
    <w:rsid w:val="00FA1CAF"/>
    <w:rsid w:val="00FA2BB3"/>
    <w:rsid w:val="00FA3B34"/>
    <w:rsid w:val="00FA6042"/>
    <w:rsid w:val="00FA7775"/>
    <w:rsid w:val="00FB0BEA"/>
    <w:rsid w:val="00FB2878"/>
    <w:rsid w:val="00FB4C80"/>
    <w:rsid w:val="00FB58ED"/>
    <w:rsid w:val="00FB6A6A"/>
    <w:rsid w:val="00FC3D72"/>
    <w:rsid w:val="00FC422C"/>
    <w:rsid w:val="00FC7429"/>
    <w:rsid w:val="00FD07F6"/>
    <w:rsid w:val="00FD198D"/>
    <w:rsid w:val="00FD1EBB"/>
    <w:rsid w:val="00FD1EC8"/>
    <w:rsid w:val="00FD22BA"/>
    <w:rsid w:val="00FD47ED"/>
    <w:rsid w:val="00FD52E4"/>
    <w:rsid w:val="00FD74DB"/>
    <w:rsid w:val="00FD7660"/>
    <w:rsid w:val="00FE0655"/>
    <w:rsid w:val="00FE2365"/>
    <w:rsid w:val="00FE37D7"/>
    <w:rsid w:val="00FE4378"/>
    <w:rsid w:val="00FE4C7B"/>
    <w:rsid w:val="00FE7336"/>
    <w:rsid w:val="00FE787C"/>
    <w:rsid w:val="00FE7FD8"/>
    <w:rsid w:val="00FF2B41"/>
    <w:rsid w:val="00FF45A5"/>
    <w:rsid w:val="00FF5AE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5E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245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5E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6"/>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25466E"/>
    <w:rPr>
      <w:rFonts w:ascii="Arial" w:eastAsiaTheme="minorHAnsi" w:hAnsi="Arial" w:cstheme="minorBidi"/>
      <w:sz w:val="18"/>
      <w:szCs w:val="22"/>
      <w:lang w:val="x-none" w:eastAsia="x-none"/>
    </w:rPr>
  </w:style>
  <w:style w:type="paragraph" w:styleId="Revision">
    <w:name w:val="Revision"/>
    <w:hidden/>
    <w:uiPriority w:val="99"/>
    <w:semiHidden/>
    <w:rsid w:val="009B7CB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652">
      <w:bodyDiv w:val="1"/>
      <w:marLeft w:val="0"/>
      <w:marRight w:val="0"/>
      <w:marTop w:val="0"/>
      <w:marBottom w:val="0"/>
      <w:divBdr>
        <w:top w:val="none" w:sz="0" w:space="0" w:color="auto"/>
        <w:left w:val="none" w:sz="0" w:space="0" w:color="auto"/>
        <w:bottom w:val="none" w:sz="0" w:space="0" w:color="auto"/>
        <w:right w:val="none" w:sz="0" w:space="0" w:color="auto"/>
      </w:divBdr>
    </w:div>
    <w:div w:id="270168807">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86883987">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31659422">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5786825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1403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3753</Words>
  <Characters>21395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2022-02-14T21:53:00Z</dcterms:created>
  <dcterms:modified xsi:type="dcterms:W3CDTF">2022-02-14T21:53:00Z</dcterms:modified>
  <cp:category/>
</cp:coreProperties>
</file>